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122A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4C1EA01A" wp14:editId="4DF0E846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3A067C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РУКОВОДИТЕЛЮ и </w:t>
            </w:r>
            <w:r w:rsidR="003A067C">
              <w:rPr>
                <w:b/>
                <w:bCs/>
                <w:i/>
                <w:iCs/>
                <w:sz w:val="22"/>
                <w:szCs w:val="28"/>
              </w:rPr>
              <w:t>ГЛАВНОМУ БУХГАЛТЕРУ</w:t>
            </w: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137483" w:rsidRPr="00B61551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89122A" w:rsidRPr="002479DC" w:rsidRDefault="0089122A" w:rsidP="0089122A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89122A" w:rsidRPr="002479DC" w:rsidRDefault="0089122A" w:rsidP="0089122A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050112">
              <w:rPr>
                <w:b/>
                <w:bCs/>
                <w:sz w:val="18"/>
                <w:szCs w:val="18"/>
              </w:rPr>
              <w:t xml:space="preserve">, (4852) 73-99-91, </w:t>
            </w:r>
            <w:r w:rsidR="00050112" w:rsidRPr="00050112">
              <w:rPr>
                <w:b/>
                <w:bCs/>
                <w:sz w:val="18"/>
                <w:szCs w:val="18"/>
              </w:rPr>
              <w:t>89080393128</w:t>
            </w:r>
          </w:p>
          <w:p w:rsidR="00137483" w:rsidRPr="0097212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97212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972122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97212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F27F88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1412"/>
        <w:gridCol w:w="4041"/>
      </w:tblGrid>
      <w:tr w:rsidR="00352B1E" w:rsidTr="003A067C">
        <w:trPr>
          <w:trHeight w:val="1968"/>
          <w:jc w:val="center"/>
        </w:trPr>
        <w:tc>
          <w:tcPr>
            <w:tcW w:w="6877" w:type="dxa"/>
            <w:gridSpan w:val="2"/>
            <w:vAlign w:val="center"/>
          </w:tcPr>
          <w:p w:rsidR="00352B1E" w:rsidRPr="00352B1E" w:rsidRDefault="00352B1E" w:rsidP="00352B1E">
            <w:pPr>
              <w:jc w:val="center"/>
              <w:rPr>
                <w:b/>
                <w:caps/>
                <w:sz w:val="22"/>
                <w:szCs w:val="28"/>
              </w:rPr>
            </w:pPr>
            <w:r w:rsidRPr="00352B1E">
              <w:rPr>
                <w:b/>
                <w:caps/>
                <w:sz w:val="22"/>
                <w:szCs w:val="28"/>
              </w:rPr>
              <w:t xml:space="preserve">новации </w:t>
            </w:r>
            <w:r w:rsidRPr="00352B1E">
              <w:rPr>
                <w:b/>
                <w:sz w:val="22"/>
                <w:szCs w:val="28"/>
              </w:rPr>
              <w:t xml:space="preserve">в </w:t>
            </w:r>
            <w:r w:rsidRPr="00352B1E">
              <w:rPr>
                <w:b/>
                <w:caps/>
                <w:sz w:val="22"/>
                <w:szCs w:val="28"/>
              </w:rPr>
              <w:t xml:space="preserve">бухгалтерском учете </w:t>
            </w:r>
            <w:r w:rsidRPr="00352B1E">
              <w:rPr>
                <w:b/>
                <w:sz w:val="22"/>
                <w:szCs w:val="28"/>
              </w:rPr>
              <w:t>в</w:t>
            </w:r>
            <w:r w:rsidRPr="00352B1E">
              <w:rPr>
                <w:b/>
                <w:caps/>
                <w:sz w:val="22"/>
                <w:szCs w:val="28"/>
              </w:rPr>
              <w:t xml:space="preserve"> 2020-2021 </w:t>
            </w:r>
            <w:r w:rsidRPr="00352B1E">
              <w:rPr>
                <w:b/>
                <w:sz w:val="22"/>
                <w:szCs w:val="28"/>
              </w:rPr>
              <w:t>гг</w:t>
            </w:r>
            <w:r w:rsidRPr="00352B1E">
              <w:rPr>
                <w:b/>
                <w:caps/>
                <w:sz w:val="22"/>
                <w:szCs w:val="28"/>
              </w:rPr>
              <w:t xml:space="preserve">. </w:t>
            </w:r>
          </w:p>
          <w:p w:rsidR="00352B1E" w:rsidRPr="00352B1E" w:rsidRDefault="00352B1E" w:rsidP="00352B1E">
            <w:pPr>
              <w:jc w:val="center"/>
              <w:rPr>
                <w:b/>
                <w:caps/>
                <w:sz w:val="12"/>
                <w:szCs w:val="16"/>
              </w:rPr>
            </w:pPr>
          </w:p>
          <w:p w:rsidR="00352B1E" w:rsidRPr="00352B1E" w:rsidRDefault="00352B1E" w:rsidP="00352B1E">
            <w:pPr>
              <w:jc w:val="center"/>
              <w:rPr>
                <w:b/>
                <w:caps/>
                <w:sz w:val="22"/>
                <w:szCs w:val="28"/>
              </w:rPr>
            </w:pPr>
            <w:r w:rsidRPr="00352B1E">
              <w:rPr>
                <w:b/>
                <w:caps/>
                <w:sz w:val="22"/>
                <w:szCs w:val="28"/>
              </w:rPr>
              <w:t xml:space="preserve">Налог на ПРИБЫЛЬ </w:t>
            </w:r>
            <w:r w:rsidRPr="00352B1E">
              <w:rPr>
                <w:b/>
                <w:sz w:val="22"/>
                <w:szCs w:val="28"/>
              </w:rPr>
              <w:t>и</w:t>
            </w:r>
            <w:r w:rsidRPr="00352B1E">
              <w:rPr>
                <w:b/>
                <w:caps/>
                <w:sz w:val="22"/>
                <w:szCs w:val="28"/>
              </w:rPr>
              <w:t xml:space="preserve"> НДС: </w:t>
            </w:r>
            <w:r w:rsidRPr="00352B1E">
              <w:rPr>
                <w:b/>
                <w:caps/>
                <w:sz w:val="22"/>
                <w:szCs w:val="28"/>
                <w:u w:val="single"/>
              </w:rPr>
              <w:t>НОВЫЕ ИЗМЕНЕНИЯ</w:t>
            </w:r>
            <w:r w:rsidRPr="00352B1E">
              <w:rPr>
                <w:b/>
                <w:caps/>
                <w:sz w:val="22"/>
                <w:szCs w:val="28"/>
              </w:rPr>
              <w:t xml:space="preserve"> </w:t>
            </w:r>
            <w:r w:rsidRPr="00352B1E">
              <w:rPr>
                <w:b/>
                <w:sz w:val="22"/>
                <w:szCs w:val="28"/>
              </w:rPr>
              <w:t xml:space="preserve">в </w:t>
            </w:r>
            <w:r w:rsidRPr="00352B1E">
              <w:rPr>
                <w:b/>
                <w:caps/>
                <w:sz w:val="22"/>
                <w:szCs w:val="28"/>
              </w:rPr>
              <w:t xml:space="preserve">налоговом законодательстве </w:t>
            </w:r>
          </w:p>
          <w:p w:rsidR="00352B1E" w:rsidRPr="00352B1E" w:rsidRDefault="00352B1E" w:rsidP="00352B1E">
            <w:pPr>
              <w:jc w:val="center"/>
              <w:rPr>
                <w:b/>
                <w:caps/>
                <w:sz w:val="12"/>
                <w:szCs w:val="16"/>
              </w:rPr>
            </w:pPr>
          </w:p>
          <w:p w:rsidR="00352B1E" w:rsidRPr="00352B1E" w:rsidRDefault="00352B1E" w:rsidP="00352B1E">
            <w:pPr>
              <w:jc w:val="center"/>
              <w:rPr>
                <w:b/>
                <w:caps/>
                <w:sz w:val="22"/>
                <w:szCs w:val="28"/>
              </w:rPr>
            </w:pPr>
            <w:r w:rsidRPr="00352B1E">
              <w:rPr>
                <w:b/>
                <w:caps/>
                <w:sz w:val="22"/>
                <w:szCs w:val="28"/>
              </w:rPr>
              <w:t xml:space="preserve">Актуальная учетная политика </w:t>
            </w:r>
            <w:r w:rsidRPr="00352B1E">
              <w:rPr>
                <w:b/>
                <w:sz w:val="22"/>
                <w:szCs w:val="28"/>
              </w:rPr>
              <w:t>на</w:t>
            </w:r>
            <w:r w:rsidRPr="00352B1E">
              <w:rPr>
                <w:b/>
                <w:caps/>
                <w:sz w:val="22"/>
                <w:szCs w:val="28"/>
              </w:rPr>
              <w:t xml:space="preserve"> 2021 </w:t>
            </w:r>
            <w:r w:rsidRPr="00352B1E">
              <w:rPr>
                <w:b/>
                <w:sz w:val="22"/>
                <w:szCs w:val="28"/>
              </w:rPr>
              <w:t>г</w:t>
            </w:r>
            <w:r w:rsidRPr="00352B1E">
              <w:rPr>
                <w:b/>
                <w:caps/>
                <w:sz w:val="22"/>
                <w:szCs w:val="28"/>
              </w:rPr>
              <w:t>.</w:t>
            </w:r>
          </w:p>
        </w:tc>
        <w:tc>
          <w:tcPr>
            <w:tcW w:w="4041" w:type="dxa"/>
            <w:vAlign w:val="center"/>
          </w:tcPr>
          <w:p w:rsidR="00352B1E" w:rsidRPr="00352B1E" w:rsidRDefault="00352B1E" w:rsidP="00352B1E">
            <w:pPr>
              <w:pStyle w:val="a7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352B1E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7</w:t>
            </w:r>
            <w:r w:rsidRPr="00352B1E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ноября 2020 года</w:t>
            </w:r>
          </w:p>
          <w:p w:rsidR="00352B1E" w:rsidRPr="00352B1E" w:rsidRDefault="00352B1E" w:rsidP="00352B1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352B1E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с 09:00 до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12</w:t>
            </w:r>
            <w:r w:rsidRPr="00352B1E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3</w:t>
            </w:r>
            <w:r w:rsidRPr="00352B1E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</w:t>
            </w:r>
          </w:p>
          <w:p w:rsidR="00352B1E" w:rsidRPr="00352B1E" w:rsidRDefault="00352B1E" w:rsidP="00352B1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2B1E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регистрация с 08:30 до 09:00</w:t>
            </w:r>
          </w:p>
          <w:p w:rsidR="00352B1E" w:rsidRDefault="00F27F88" w:rsidP="00B863AF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352B1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  <w:t>г. Петропавловск-Камчатский</w:t>
            </w:r>
          </w:p>
        </w:tc>
      </w:tr>
      <w:tr w:rsidR="003A067C" w:rsidTr="00B8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  <w:jc w:val="center"/>
        </w:trPr>
        <w:tc>
          <w:tcPr>
            <w:tcW w:w="5465" w:type="dxa"/>
            <w:vAlign w:val="center"/>
          </w:tcPr>
          <w:p w:rsidR="003A067C" w:rsidRDefault="003A067C" w:rsidP="00B863AF">
            <w:pPr>
              <w:ind w:right="141"/>
            </w:pPr>
          </w:p>
        </w:tc>
        <w:tc>
          <w:tcPr>
            <w:tcW w:w="5453" w:type="dxa"/>
            <w:gridSpan w:val="2"/>
            <w:vAlign w:val="center"/>
          </w:tcPr>
          <w:p w:rsidR="003A067C" w:rsidRPr="009447AC" w:rsidRDefault="003A067C" w:rsidP="00B863AF">
            <w:pPr>
              <w:pStyle w:val="a7"/>
            </w:pPr>
          </w:p>
        </w:tc>
      </w:tr>
    </w:tbl>
    <w:p w:rsidR="00352B1E" w:rsidRPr="00352B1E" w:rsidRDefault="00F27F88" w:rsidP="00352B1E">
      <w:pPr>
        <w:spacing w:before="120" w:after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ПРОГРАММА СЕМИНАРА</w:t>
      </w:r>
    </w:p>
    <w:tbl>
      <w:tblPr>
        <w:tblW w:w="11214" w:type="dxa"/>
        <w:shd w:val="clear" w:color="auto" w:fill="FFFFFF"/>
        <w:tblLook w:val="04A0" w:firstRow="1" w:lastRow="0" w:firstColumn="1" w:lastColumn="0" w:noHBand="0" w:noVBand="1"/>
      </w:tblPr>
      <w:tblGrid>
        <w:gridCol w:w="11214"/>
      </w:tblGrid>
      <w:tr w:rsidR="00352B1E" w:rsidRPr="00352B1E" w:rsidTr="00352B1E">
        <w:tc>
          <w:tcPr>
            <w:tcW w:w="11214" w:type="dxa"/>
            <w:shd w:val="clear" w:color="auto" w:fill="FFFFFF"/>
          </w:tcPr>
          <w:p w:rsidR="00352B1E" w:rsidRPr="00352B1E" w:rsidRDefault="00352B1E" w:rsidP="00352B1E">
            <w:pPr>
              <w:jc w:val="center"/>
              <w:rPr>
                <w:b/>
                <w:i/>
                <w:caps/>
                <w:color w:val="FF0000"/>
                <w:sz w:val="22"/>
                <w:szCs w:val="22"/>
              </w:rPr>
            </w:pPr>
            <w:r w:rsidRPr="00352B1E">
              <w:rPr>
                <w:b/>
                <w:i/>
                <w:sz w:val="22"/>
                <w:szCs w:val="22"/>
              </w:rPr>
              <w:t>(возможны текущие изменения в программе по мере принятия законодательных актов РФ)</w:t>
            </w:r>
            <w:r w:rsidRPr="00352B1E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52B1E" w:rsidRPr="00352B1E" w:rsidTr="00352B1E">
        <w:tc>
          <w:tcPr>
            <w:tcW w:w="11214" w:type="dxa"/>
            <w:shd w:val="clear" w:color="auto" w:fill="BFBFBF"/>
          </w:tcPr>
          <w:p w:rsidR="00352B1E" w:rsidRPr="00352B1E" w:rsidRDefault="00352B1E" w:rsidP="00352B1E">
            <w:pPr>
              <w:jc w:val="center"/>
              <w:rPr>
                <w:b/>
                <w:caps/>
                <w:sz w:val="22"/>
                <w:szCs w:val="22"/>
              </w:rPr>
            </w:pPr>
            <w:r w:rsidRPr="00352B1E">
              <w:rPr>
                <w:b/>
                <w:caps/>
                <w:sz w:val="22"/>
                <w:szCs w:val="22"/>
              </w:rPr>
              <w:t xml:space="preserve">1. Основные изменения </w:t>
            </w:r>
            <w:r w:rsidRPr="00352B1E">
              <w:rPr>
                <w:b/>
                <w:sz w:val="22"/>
                <w:szCs w:val="22"/>
              </w:rPr>
              <w:t>в</w:t>
            </w:r>
            <w:r w:rsidRPr="00352B1E">
              <w:rPr>
                <w:b/>
                <w:caps/>
                <w:sz w:val="22"/>
                <w:szCs w:val="22"/>
              </w:rPr>
              <w:t xml:space="preserve"> бухгалтерском учете. </w:t>
            </w:r>
          </w:p>
          <w:p w:rsidR="00352B1E" w:rsidRPr="00352B1E" w:rsidRDefault="00352B1E" w:rsidP="00352B1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2B1E">
              <w:rPr>
                <w:b/>
                <w:caps/>
                <w:sz w:val="22"/>
                <w:szCs w:val="22"/>
              </w:rPr>
              <w:t xml:space="preserve">Актуальная учётная политика </w:t>
            </w:r>
            <w:r w:rsidRPr="00352B1E">
              <w:rPr>
                <w:b/>
                <w:sz w:val="22"/>
                <w:szCs w:val="22"/>
              </w:rPr>
              <w:t>на</w:t>
            </w:r>
            <w:r w:rsidRPr="00352B1E">
              <w:rPr>
                <w:b/>
                <w:caps/>
                <w:sz w:val="22"/>
                <w:szCs w:val="22"/>
              </w:rPr>
              <w:t xml:space="preserve"> 2021 </w:t>
            </w:r>
            <w:r w:rsidRPr="00352B1E">
              <w:rPr>
                <w:b/>
                <w:sz w:val="22"/>
                <w:szCs w:val="22"/>
              </w:rPr>
              <w:t>г</w:t>
            </w:r>
            <w:r w:rsidRPr="00352B1E">
              <w:rPr>
                <w:b/>
                <w:caps/>
                <w:sz w:val="22"/>
                <w:szCs w:val="22"/>
              </w:rPr>
              <w:t>.</w:t>
            </w:r>
            <w:r w:rsidRPr="00352B1E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352B1E" w:rsidRPr="00352B1E" w:rsidTr="00352B1E">
        <w:tc>
          <w:tcPr>
            <w:tcW w:w="11214" w:type="dxa"/>
            <w:shd w:val="clear" w:color="auto" w:fill="FFFFFF"/>
          </w:tcPr>
          <w:p w:rsidR="00352B1E" w:rsidRPr="00352B1E" w:rsidRDefault="00352B1E" w:rsidP="00352B1E">
            <w:pPr>
              <w:jc w:val="both"/>
              <w:rPr>
                <w:b/>
                <w:sz w:val="22"/>
                <w:szCs w:val="22"/>
              </w:rPr>
            </w:pPr>
            <w:r w:rsidRPr="00352B1E">
              <w:rPr>
                <w:sz w:val="22"/>
                <w:szCs w:val="22"/>
              </w:rPr>
              <w:t>1)</w:t>
            </w:r>
            <w:r w:rsidRPr="00352B1E">
              <w:rPr>
                <w:b/>
                <w:sz w:val="22"/>
                <w:szCs w:val="22"/>
              </w:rPr>
              <w:t xml:space="preserve"> Нормативное регулирование сферы бухгалтерского учета. Программа разработки федеральных и отраслевых стандартов БУ на 2020 - 2023 гг.</w:t>
            </w:r>
          </w:p>
          <w:p w:rsidR="00352B1E" w:rsidRPr="00352B1E" w:rsidRDefault="00352B1E" w:rsidP="00352B1E">
            <w:pPr>
              <w:jc w:val="both"/>
              <w:rPr>
                <w:b/>
                <w:sz w:val="22"/>
                <w:szCs w:val="22"/>
              </w:rPr>
            </w:pPr>
            <w:r w:rsidRPr="00352B1E">
              <w:rPr>
                <w:b/>
                <w:sz w:val="22"/>
                <w:szCs w:val="22"/>
              </w:rPr>
              <w:t xml:space="preserve">2) НОВЫЙ федеральный стандарт бухучета </w:t>
            </w:r>
            <w:r w:rsidRPr="00352B1E">
              <w:rPr>
                <w:b/>
                <w:sz w:val="22"/>
                <w:szCs w:val="22"/>
                <w:u w:val="single"/>
              </w:rPr>
              <w:t>ФСБУ 5/2019 «Запасы»</w:t>
            </w:r>
            <w:r w:rsidRPr="00352B1E">
              <w:rPr>
                <w:b/>
                <w:sz w:val="22"/>
                <w:szCs w:val="22"/>
              </w:rPr>
              <w:t xml:space="preserve"> (взамен ПБУ 5/01): новые правила учета запасов с 2021 г.  </w:t>
            </w:r>
          </w:p>
          <w:p w:rsidR="00352B1E" w:rsidRPr="00352B1E" w:rsidRDefault="00352B1E" w:rsidP="00352B1E">
            <w:pPr>
              <w:jc w:val="both"/>
              <w:rPr>
                <w:b/>
                <w:sz w:val="22"/>
                <w:szCs w:val="22"/>
              </w:rPr>
            </w:pPr>
            <w:r w:rsidRPr="00352B1E">
              <w:rPr>
                <w:sz w:val="22"/>
                <w:szCs w:val="22"/>
              </w:rPr>
              <w:t>Федеральный стандарт ФСБУ 25/2018 «Бухгалтерский учет аренды»: особенности применения организациями</w:t>
            </w:r>
          </w:p>
        </w:tc>
      </w:tr>
      <w:tr w:rsidR="00352B1E" w:rsidRPr="00352B1E" w:rsidTr="00352B1E">
        <w:tc>
          <w:tcPr>
            <w:tcW w:w="11214" w:type="dxa"/>
            <w:shd w:val="clear" w:color="auto" w:fill="FFFFFF"/>
          </w:tcPr>
          <w:p w:rsidR="00352B1E" w:rsidRPr="00352B1E" w:rsidRDefault="00352B1E" w:rsidP="00352B1E">
            <w:pPr>
              <w:jc w:val="both"/>
              <w:rPr>
                <w:b/>
                <w:sz w:val="22"/>
                <w:szCs w:val="22"/>
              </w:rPr>
            </w:pPr>
            <w:r w:rsidRPr="00352B1E">
              <w:rPr>
                <w:sz w:val="22"/>
                <w:szCs w:val="22"/>
              </w:rPr>
              <w:t>3)</w:t>
            </w:r>
            <w:r w:rsidRPr="00352B1E">
              <w:rPr>
                <w:b/>
                <w:sz w:val="22"/>
                <w:szCs w:val="22"/>
              </w:rPr>
              <w:t xml:space="preserve"> Упрощенные </w:t>
            </w:r>
            <w:r w:rsidRPr="00352B1E">
              <w:rPr>
                <w:sz w:val="22"/>
                <w:szCs w:val="22"/>
              </w:rPr>
              <w:t>способы ведения бухгалтерского учета</w:t>
            </w:r>
            <w:r w:rsidRPr="00352B1E">
              <w:rPr>
                <w:b/>
                <w:sz w:val="22"/>
                <w:szCs w:val="22"/>
              </w:rPr>
              <w:t xml:space="preserve"> субъектами МСП (в </w:t>
            </w:r>
            <w:proofErr w:type="spellStart"/>
            <w:r w:rsidRPr="00352B1E">
              <w:rPr>
                <w:b/>
                <w:sz w:val="22"/>
                <w:szCs w:val="22"/>
              </w:rPr>
              <w:t>т.ч</w:t>
            </w:r>
            <w:proofErr w:type="spellEnd"/>
            <w:r w:rsidRPr="00352B1E">
              <w:rPr>
                <w:b/>
                <w:sz w:val="22"/>
                <w:szCs w:val="22"/>
              </w:rPr>
              <w:t>. упрощенная бухгалтерская (финансовая) отчетность)</w:t>
            </w:r>
          </w:p>
        </w:tc>
      </w:tr>
      <w:tr w:rsidR="00352B1E" w:rsidRPr="00352B1E" w:rsidTr="00352B1E">
        <w:tc>
          <w:tcPr>
            <w:tcW w:w="11214" w:type="dxa"/>
            <w:shd w:val="clear" w:color="auto" w:fill="FFFFFF"/>
          </w:tcPr>
          <w:p w:rsidR="00352B1E" w:rsidRPr="00352B1E" w:rsidRDefault="00352B1E" w:rsidP="00352B1E">
            <w:pPr>
              <w:jc w:val="both"/>
              <w:rPr>
                <w:b/>
                <w:sz w:val="22"/>
                <w:szCs w:val="22"/>
              </w:rPr>
            </w:pPr>
            <w:r w:rsidRPr="00352B1E">
              <w:rPr>
                <w:b/>
                <w:sz w:val="22"/>
                <w:szCs w:val="22"/>
              </w:rPr>
              <w:t xml:space="preserve">4) Особенности </w:t>
            </w:r>
            <w:r w:rsidRPr="00352B1E">
              <w:rPr>
                <w:sz w:val="22"/>
                <w:szCs w:val="22"/>
              </w:rPr>
              <w:t>отражения</w:t>
            </w:r>
            <w:r w:rsidRPr="00352B1E">
              <w:rPr>
                <w:b/>
                <w:sz w:val="22"/>
                <w:szCs w:val="22"/>
              </w:rPr>
              <w:t xml:space="preserve"> в БУ и НУ резервов, оценочных обязательств, долгосрочных активов к продаже, </w:t>
            </w:r>
            <w:r w:rsidRPr="00352B1E">
              <w:rPr>
                <w:sz w:val="22"/>
                <w:szCs w:val="22"/>
              </w:rPr>
              <w:t xml:space="preserve">постоянных и временных разниц. </w:t>
            </w:r>
            <w:r w:rsidRPr="00352B1E">
              <w:rPr>
                <w:b/>
                <w:sz w:val="22"/>
                <w:szCs w:val="22"/>
              </w:rPr>
              <w:t>Сомнительные долги в БУ и НУ</w:t>
            </w:r>
            <w:r w:rsidRPr="00352B1E">
              <w:rPr>
                <w:sz w:val="22"/>
                <w:szCs w:val="22"/>
              </w:rPr>
              <w:t>. Прекращение обязательств и безнадежные долги</w:t>
            </w:r>
          </w:p>
        </w:tc>
      </w:tr>
      <w:tr w:rsidR="00352B1E" w:rsidRPr="00352B1E" w:rsidTr="00352B1E">
        <w:tc>
          <w:tcPr>
            <w:tcW w:w="11214" w:type="dxa"/>
            <w:shd w:val="clear" w:color="auto" w:fill="auto"/>
          </w:tcPr>
          <w:tbl>
            <w:tblPr>
              <w:tblW w:w="1098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988"/>
            </w:tblGrid>
            <w:tr w:rsidR="00352B1E" w:rsidRPr="00352B1E" w:rsidTr="003A5186">
              <w:tc>
                <w:tcPr>
                  <w:tcW w:w="10988" w:type="dxa"/>
                  <w:shd w:val="clear" w:color="auto" w:fill="BFBFBF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60"/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2. Налог </w:t>
                  </w:r>
                  <w:r w:rsidRPr="00352B1E">
                    <w:rPr>
                      <w:b/>
                      <w:sz w:val="22"/>
                      <w:szCs w:val="22"/>
                    </w:rPr>
                    <w:t>на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 прибыль: </w:t>
                  </w:r>
                </w:p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60"/>
                    <w:jc w:val="center"/>
                    <w:rPr>
                      <w:b/>
                      <w:caps/>
                      <w:color w:val="FF0000"/>
                      <w:sz w:val="22"/>
                      <w:szCs w:val="22"/>
                    </w:rPr>
                  </w:pP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изменения налогового законодательства </w:t>
                  </w:r>
                  <w:r w:rsidRPr="00352B1E">
                    <w:rPr>
                      <w:b/>
                      <w:sz w:val="22"/>
                      <w:szCs w:val="22"/>
                    </w:rPr>
                    <w:t>в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 2020-2021 </w:t>
                  </w:r>
                  <w:r w:rsidRPr="00352B1E">
                    <w:rPr>
                      <w:b/>
                      <w:sz w:val="22"/>
                      <w:szCs w:val="22"/>
                    </w:rPr>
                    <w:t>гг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>.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1"/>
                    <w:jc w:val="both"/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 xml:space="preserve">1) </w:t>
                  </w:r>
                  <w:r w:rsidRPr="00352B1E">
                    <w:rPr>
                      <w:b/>
                      <w:sz w:val="22"/>
                      <w:szCs w:val="22"/>
                    </w:rPr>
                    <w:t>Амортизируемое имущество в налоговом учете</w:t>
                  </w:r>
                  <w:r w:rsidRPr="00352B1E">
                    <w:rPr>
                      <w:sz w:val="22"/>
                      <w:szCs w:val="22"/>
                    </w:rPr>
                    <w:t xml:space="preserve">: анализ сложных практических ситуаций и </w:t>
                  </w:r>
                  <w:r w:rsidRPr="00352B1E">
                    <w:rPr>
                      <w:b/>
                      <w:sz w:val="22"/>
                      <w:szCs w:val="22"/>
                    </w:rPr>
                    <w:t>требований Минфина</w:t>
                  </w:r>
                  <w:r w:rsidRPr="00352B1E">
                    <w:rPr>
                      <w:sz w:val="22"/>
                      <w:szCs w:val="22"/>
                    </w:rPr>
                    <w:t>. Порядок применения повышающих коэффициентов амортизации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1"/>
                    <w:jc w:val="both"/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 xml:space="preserve">2) Применение </w:t>
                  </w:r>
                  <w:r w:rsidRPr="00352B1E">
                    <w:rPr>
                      <w:b/>
                      <w:sz w:val="22"/>
                      <w:szCs w:val="22"/>
                    </w:rPr>
                    <w:t xml:space="preserve">инвестиционного вычета </w:t>
                  </w:r>
                  <w:r w:rsidRPr="00352B1E">
                    <w:rPr>
                      <w:sz w:val="22"/>
                      <w:szCs w:val="22"/>
                    </w:rPr>
                    <w:t>по налогу на прибыль при приобретении (модернизации, реконструкции и т.д.) основных средств в 2020-2021 г.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1"/>
                    <w:jc w:val="both"/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 xml:space="preserve">3) </w:t>
                  </w:r>
                  <w:r w:rsidRPr="00352B1E">
                    <w:rPr>
                      <w:b/>
                      <w:sz w:val="22"/>
                      <w:szCs w:val="22"/>
                    </w:rPr>
                    <w:t>Признание расходов при исчислении налога на прибыль</w:t>
                  </w:r>
                  <w:r w:rsidRPr="00352B1E">
                    <w:rPr>
                      <w:sz w:val="22"/>
                      <w:szCs w:val="22"/>
                    </w:rPr>
                    <w:t xml:space="preserve">: анализ спорных и бесспорных ПРАКТИЧЕСКИХ ситуаций (экспертный анализ Разъяснений Минфина и ФНС).  Сложные вопросы признания прочих расходов (в </w:t>
                  </w:r>
                  <w:proofErr w:type="spellStart"/>
                  <w:r w:rsidRPr="00352B1E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352B1E">
                    <w:rPr>
                      <w:sz w:val="22"/>
                      <w:szCs w:val="22"/>
                    </w:rPr>
                    <w:t xml:space="preserve">. расходов на дезинфекцию и </w:t>
                  </w:r>
                  <w:proofErr w:type="gramStart"/>
                  <w:r w:rsidRPr="00352B1E">
                    <w:rPr>
                      <w:sz w:val="22"/>
                      <w:szCs w:val="22"/>
                    </w:rPr>
                    <w:t>СИЗ</w:t>
                  </w:r>
                  <w:proofErr w:type="gramEnd"/>
                  <w:r w:rsidRPr="00352B1E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 xml:space="preserve">4) </w:t>
                  </w:r>
                  <w:r w:rsidRPr="00352B1E">
                    <w:rPr>
                      <w:b/>
                      <w:sz w:val="22"/>
                      <w:szCs w:val="22"/>
                    </w:rPr>
                    <w:t xml:space="preserve">Госгарантии, субсидии, безвозмездная помощь, гранты и целевые средства в качестве доходов </w:t>
                  </w:r>
                  <w:proofErr w:type="gramStart"/>
                  <w:r w:rsidRPr="00352B1E">
                    <w:rPr>
                      <w:b/>
                      <w:sz w:val="22"/>
                      <w:szCs w:val="22"/>
                    </w:rPr>
                    <w:t>в</w:t>
                  </w:r>
                  <w:proofErr w:type="gramEnd"/>
                  <w:r w:rsidRPr="00352B1E">
                    <w:rPr>
                      <w:b/>
                      <w:sz w:val="22"/>
                      <w:szCs w:val="22"/>
                    </w:rPr>
                    <w:t xml:space="preserve"> НУ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BFBFBF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352B1E">
                    <w:rPr>
                      <w:b/>
                      <w:caps/>
                      <w:sz w:val="22"/>
                      <w:szCs w:val="22"/>
                    </w:rPr>
                    <w:t>3. НДС: новое, актуальное, важное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tabs>
                      <w:tab w:val="left" w:pos="0"/>
                      <w:tab w:val="center" w:pos="556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>1) Особенности НДС декларирования. Уточнение контрольных соотношений к декларации. Коды в документах по НДС. Корректировочные и исправленные счета-фактуры. Ответственность налогоплательщика за отсутствие счетов-фактур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tabs>
                      <w:tab w:val="left" w:pos="0"/>
                      <w:tab w:val="center" w:pos="5566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 xml:space="preserve">2) </w:t>
                  </w:r>
                  <w:r w:rsidRPr="00352B1E">
                    <w:rPr>
                      <w:b/>
                      <w:sz w:val="22"/>
                      <w:szCs w:val="22"/>
                    </w:rPr>
                    <w:t>Раздельный учёт НДС</w:t>
                  </w:r>
                  <w:r w:rsidRPr="00352B1E">
                    <w:rPr>
                      <w:sz w:val="22"/>
                      <w:szCs w:val="22"/>
                    </w:rPr>
                    <w:t>: анализ разъяснений Минфина и ФНС. Расчет доли вычета «входного» НДС при облагаемых и не облагаемых НДС операциях (анализ Разъяснений Минфина и ФНС)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>3)</w:t>
                  </w:r>
                  <w:r w:rsidRPr="00352B1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52B1E">
                    <w:rPr>
                      <w:sz w:val="22"/>
                      <w:szCs w:val="22"/>
                    </w:rPr>
                    <w:t xml:space="preserve">Вычеты НДС (в </w:t>
                  </w:r>
                  <w:proofErr w:type="spellStart"/>
                  <w:r w:rsidRPr="00352B1E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352B1E">
                    <w:rPr>
                      <w:sz w:val="22"/>
                      <w:szCs w:val="22"/>
                    </w:rPr>
                    <w:t xml:space="preserve">. при расторжении договора и возврате аванса (товара), при встречной реализации) Восстановление сумм НДС, ранее заявленных к вычету 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auto"/>
                </w:tcPr>
                <w:p w:rsidR="00352B1E" w:rsidRPr="00352B1E" w:rsidRDefault="00352B1E" w:rsidP="00352B1E">
                  <w:pPr>
                    <w:rPr>
                      <w:sz w:val="22"/>
                      <w:szCs w:val="22"/>
                    </w:rPr>
                  </w:pPr>
                  <w:r w:rsidRPr="00352B1E">
                    <w:rPr>
                      <w:sz w:val="22"/>
                      <w:szCs w:val="22"/>
                    </w:rPr>
                    <w:t>4) «Безвозмездность» и НДС (позиция Минфина и ФСН)</w:t>
                  </w:r>
                </w:p>
              </w:tc>
            </w:tr>
            <w:tr w:rsidR="00352B1E" w:rsidRPr="00352B1E" w:rsidTr="003A5186">
              <w:tc>
                <w:tcPr>
                  <w:tcW w:w="10988" w:type="dxa"/>
                  <w:shd w:val="clear" w:color="auto" w:fill="BFBFBF"/>
                </w:tcPr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60"/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4. Налог на имущество организаций: новый порядок </w:t>
                  </w:r>
                  <w:r w:rsidRPr="00352B1E">
                    <w:rPr>
                      <w:b/>
                      <w:sz w:val="22"/>
                      <w:szCs w:val="22"/>
                    </w:rPr>
                    <w:t>в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 2020 </w:t>
                  </w:r>
                  <w:r w:rsidRPr="00352B1E">
                    <w:rPr>
                      <w:b/>
                      <w:sz w:val="22"/>
                      <w:szCs w:val="22"/>
                    </w:rPr>
                    <w:t>г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. Изменения </w:t>
                  </w:r>
                  <w:r w:rsidRPr="00352B1E">
                    <w:rPr>
                      <w:b/>
                      <w:sz w:val="22"/>
                      <w:szCs w:val="22"/>
                    </w:rPr>
                    <w:t>в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 2021 </w:t>
                  </w:r>
                  <w:r w:rsidRPr="00352B1E">
                    <w:rPr>
                      <w:b/>
                      <w:sz w:val="22"/>
                      <w:szCs w:val="22"/>
                    </w:rPr>
                    <w:t>г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>.</w:t>
                  </w:r>
                </w:p>
                <w:p w:rsidR="00352B1E" w:rsidRPr="00352B1E" w:rsidRDefault="00352B1E" w:rsidP="00352B1E">
                  <w:pPr>
                    <w:tabs>
                      <w:tab w:val="left" w:pos="1755"/>
                      <w:tab w:val="center" w:pos="5566"/>
                    </w:tabs>
                    <w:ind w:left="360"/>
                    <w:jc w:val="center"/>
                    <w:rPr>
                      <w:b/>
                      <w:caps/>
                      <w:color w:val="FF0000"/>
                      <w:sz w:val="22"/>
                      <w:szCs w:val="22"/>
                    </w:rPr>
                  </w:pP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Транспортный налог: актуальные аспекты </w:t>
                  </w:r>
                  <w:r w:rsidRPr="00352B1E">
                    <w:rPr>
                      <w:b/>
                      <w:sz w:val="22"/>
                      <w:szCs w:val="22"/>
                    </w:rPr>
                    <w:t>в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 xml:space="preserve"> 2020 </w:t>
                  </w:r>
                  <w:r w:rsidRPr="00352B1E">
                    <w:rPr>
                      <w:b/>
                      <w:sz w:val="22"/>
                      <w:szCs w:val="22"/>
                    </w:rPr>
                    <w:t>г</w:t>
                  </w:r>
                  <w:r w:rsidRPr="00352B1E">
                    <w:rPr>
                      <w:b/>
                      <w:caps/>
                      <w:sz w:val="22"/>
                      <w:szCs w:val="22"/>
                    </w:rPr>
                    <w:t>.</w:t>
                  </w:r>
                  <w:r w:rsidRPr="00352B1E">
                    <w:rPr>
                      <w:b/>
                      <w:cap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52B1E" w:rsidRPr="00352B1E" w:rsidRDefault="00352B1E" w:rsidP="00352B1E">
            <w:pPr>
              <w:jc w:val="center"/>
              <w:rPr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3217E4" w:rsidRDefault="003217E4"/>
    <w:tbl>
      <w:tblPr>
        <w:tblW w:w="11214" w:type="dxa"/>
        <w:shd w:val="clear" w:color="auto" w:fill="FFFFFF"/>
        <w:tblLook w:val="04A0" w:firstRow="1" w:lastRow="0" w:firstColumn="1" w:lastColumn="0" w:noHBand="0" w:noVBand="1"/>
      </w:tblPr>
      <w:tblGrid>
        <w:gridCol w:w="11214"/>
      </w:tblGrid>
      <w:tr w:rsidR="00352B1E" w:rsidRPr="00352B1E" w:rsidTr="00352B1E">
        <w:tc>
          <w:tcPr>
            <w:tcW w:w="11214" w:type="dxa"/>
            <w:shd w:val="clear" w:color="auto" w:fill="BFBFBF"/>
          </w:tcPr>
          <w:p w:rsidR="00352B1E" w:rsidRPr="00352B1E" w:rsidRDefault="00352B1E" w:rsidP="00352B1E">
            <w:pPr>
              <w:jc w:val="center"/>
              <w:rPr>
                <w:b/>
                <w:caps/>
                <w:sz w:val="22"/>
                <w:szCs w:val="22"/>
              </w:rPr>
            </w:pPr>
            <w:r w:rsidRPr="00352B1E">
              <w:rPr>
                <w:b/>
                <w:sz w:val="22"/>
                <w:szCs w:val="22"/>
              </w:rPr>
              <w:t>ИНДИВИДУАЛЬНОЕ КОНСУЛЬТИРОВАНИЕ участников семинара</w:t>
            </w:r>
          </w:p>
        </w:tc>
      </w:tr>
    </w:tbl>
    <w:p w:rsidR="00352B1E" w:rsidRDefault="00352B1E">
      <w:bookmarkStart w:id="0" w:name="_GoBack"/>
      <w:bookmarkEnd w:id="0"/>
    </w:p>
    <w:sectPr w:rsidR="00352B1E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50112"/>
    <w:rsid w:val="00137483"/>
    <w:rsid w:val="001535EC"/>
    <w:rsid w:val="001674D4"/>
    <w:rsid w:val="00180DF0"/>
    <w:rsid w:val="001A0796"/>
    <w:rsid w:val="002015EA"/>
    <w:rsid w:val="00284C6F"/>
    <w:rsid w:val="002E2E80"/>
    <w:rsid w:val="003217E4"/>
    <w:rsid w:val="00352B1E"/>
    <w:rsid w:val="003A067C"/>
    <w:rsid w:val="003C1B4A"/>
    <w:rsid w:val="004E1B74"/>
    <w:rsid w:val="00525367"/>
    <w:rsid w:val="005E61A8"/>
    <w:rsid w:val="00683DC5"/>
    <w:rsid w:val="00697792"/>
    <w:rsid w:val="006C0CE4"/>
    <w:rsid w:val="0071086B"/>
    <w:rsid w:val="00780DB3"/>
    <w:rsid w:val="007E5B25"/>
    <w:rsid w:val="0089122A"/>
    <w:rsid w:val="00894B47"/>
    <w:rsid w:val="008A6C4E"/>
    <w:rsid w:val="009447AC"/>
    <w:rsid w:val="00972122"/>
    <w:rsid w:val="00984509"/>
    <w:rsid w:val="00AD2ED0"/>
    <w:rsid w:val="00B8029C"/>
    <w:rsid w:val="00B814E0"/>
    <w:rsid w:val="00B863AF"/>
    <w:rsid w:val="00BA3ED4"/>
    <w:rsid w:val="00BC6DA4"/>
    <w:rsid w:val="00BF2FE9"/>
    <w:rsid w:val="00C1258A"/>
    <w:rsid w:val="00D16E49"/>
    <w:rsid w:val="00D73D25"/>
    <w:rsid w:val="00DA25FF"/>
    <w:rsid w:val="00E40061"/>
    <w:rsid w:val="00E42955"/>
    <w:rsid w:val="00EB1F38"/>
    <w:rsid w:val="00F05300"/>
    <w:rsid w:val="00F22DF2"/>
    <w:rsid w:val="00F27F88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8C1C-29DB-4485-A2CA-56F0CC9B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dcterms:created xsi:type="dcterms:W3CDTF">2019-05-21T13:50:00Z</dcterms:created>
  <dcterms:modified xsi:type="dcterms:W3CDTF">2020-09-23T13:19:00Z</dcterms:modified>
</cp:coreProperties>
</file>