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C2719BD" wp14:editId="43134758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81051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>РУКОВОДИТЕЛЮ</w:t>
            </w:r>
            <w:r w:rsidR="0081051A">
              <w:rPr>
                <w:b/>
                <w:bCs/>
                <w:i/>
                <w:iCs/>
                <w:sz w:val="22"/>
                <w:szCs w:val="28"/>
              </w:rPr>
              <w:t xml:space="preserve"> ОРГАНИЗАЦИИ</w:t>
            </w: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5238BE" w:rsidRDefault="005238BE" w:rsidP="005238BE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5238BE" w:rsidRDefault="005238BE" w:rsidP="005238BE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5238BE" w:rsidRPr="005836F7" w:rsidRDefault="005238BE" w:rsidP="005238BE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238BE" w:rsidRPr="005836F7" w:rsidRDefault="005238BE" w:rsidP="005238BE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(4852) 72-20-22, (4852) 73-99-91.</w:t>
            </w:r>
          </w:p>
          <w:p w:rsidR="00137483" w:rsidRPr="0057451E" w:rsidRDefault="005238BE" w:rsidP="005238BE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57451E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57451E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57451E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57451E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3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57451E">
                <w:rPr>
                  <w:rStyle w:val="a3"/>
                  <w:b/>
                  <w:bCs/>
                  <w:sz w:val="20"/>
                  <w:szCs w:val="18"/>
                </w:rPr>
                <w:t>/</w:t>
              </w:r>
            </w:hyperlink>
          </w:p>
          <w:p w:rsidR="00683DC5" w:rsidRPr="00683DC5" w:rsidRDefault="00683DC5" w:rsidP="00827DC6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827DC6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827DC6">
              <w:rPr>
                <w:b/>
                <w:bCs/>
                <w:spacing w:val="6"/>
                <w:sz w:val="20"/>
                <w:szCs w:val="20"/>
                <w:u w:val="single"/>
              </w:rPr>
              <w:t>06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827DC6">
              <w:rPr>
                <w:b/>
                <w:bCs/>
                <w:spacing w:val="6"/>
                <w:sz w:val="20"/>
                <w:szCs w:val="20"/>
                <w:u w:val="single"/>
              </w:rPr>
              <w:t>10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B15688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27DC6" w:rsidRPr="00827DC6" w:rsidRDefault="00827DC6" w:rsidP="00827DC6">
      <w:pPr>
        <w:jc w:val="center"/>
        <w:rPr>
          <w:b/>
        </w:rPr>
      </w:pPr>
      <w:r w:rsidRPr="00827DC6">
        <w:rPr>
          <w:b/>
        </w:rPr>
        <w:t>Приглашение на ВЕБИНАР</w:t>
      </w:r>
    </w:p>
    <w:tbl>
      <w:tblPr>
        <w:tblStyle w:val="a9"/>
        <w:tblW w:w="0" w:type="auto"/>
        <w:jc w:val="center"/>
        <w:tblInd w:w="-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538"/>
      </w:tblGrid>
      <w:tr w:rsidR="005238BE" w:rsidRPr="00C53243" w:rsidTr="005238BE">
        <w:trPr>
          <w:trHeight w:val="1968"/>
          <w:jc w:val="center"/>
        </w:trPr>
        <w:tc>
          <w:tcPr>
            <w:tcW w:w="6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8BE" w:rsidRPr="0057451E" w:rsidRDefault="005238BE" w:rsidP="005238BE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57451E">
              <w:rPr>
                <w:b/>
                <w:color w:val="000000"/>
                <w:sz w:val="26"/>
                <w:szCs w:val="26"/>
              </w:rPr>
              <w:t xml:space="preserve">ПРАКТИЧЕСКИЕ ВОПРОСЫ РЕАЛИЗАЦИИ ЗАКОНОДАТЕЛЬСТВА </w:t>
            </w:r>
          </w:p>
          <w:p w:rsidR="005238BE" w:rsidRPr="0057451E" w:rsidRDefault="005238BE" w:rsidP="005238BE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5238BE" w:rsidRPr="005238BE" w:rsidRDefault="005238BE" w:rsidP="005238BE">
            <w:pPr>
              <w:jc w:val="center"/>
              <w:outlineLvl w:val="0"/>
              <w:rPr>
                <w:b/>
                <w:bCs/>
                <w:sz w:val="2"/>
                <w:szCs w:val="2"/>
              </w:rPr>
            </w:pPr>
            <w:r w:rsidRPr="0057451E">
              <w:rPr>
                <w:b/>
                <w:color w:val="000000"/>
                <w:sz w:val="26"/>
                <w:szCs w:val="26"/>
              </w:rPr>
              <w:t>В СФЕРЕ ОРГАНИЗАЦИИ РАБОТЫ С ЖИВОТНЫМИ БЕЗ ВЛАДЕЛЬЦЕВ</w:t>
            </w:r>
            <w:r w:rsidRPr="0057451E">
              <w:rPr>
                <w:b/>
                <w:bCs/>
                <w:sz w:val="2"/>
                <w:szCs w:val="2"/>
              </w:rPr>
              <w:t xml:space="preserve"> </w:t>
            </w:r>
          </w:p>
        </w:tc>
        <w:tc>
          <w:tcPr>
            <w:tcW w:w="4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7DC6" w:rsidRPr="00827DC6" w:rsidRDefault="00827DC6" w:rsidP="00827DC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10-11</w:t>
            </w:r>
            <w:r w:rsidRPr="00827D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ноября 2020 года</w:t>
            </w:r>
          </w:p>
          <w:p w:rsidR="00827DC6" w:rsidRPr="00827DC6" w:rsidRDefault="00827DC6" w:rsidP="00827DC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827D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с 9:30 до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13</w:t>
            </w:r>
            <w:r w:rsidRPr="00827D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  <w:r w:rsidRPr="00827D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</w:p>
          <w:p w:rsidR="005238BE" w:rsidRPr="0057451E" w:rsidRDefault="00827DC6" w:rsidP="00827DC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D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по московскому времени</w:t>
            </w:r>
          </w:p>
        </w:tc>
      </w:tr>
    </w:tbl>
    <w:p w:rsidR="0081051A" w:rsidRPr="00A61EE4" w:rsidRDefault="003C1B4A" w:rsidP="0081051A">
      <w:pPr>
        <w:shd w:val="clear" w:color="auto" w:fill="FFFFFF"/>
        <w:spacing w:before="120" w:after="120"/>
        <w:jc w:val="center"/>
        <w:rPr>
          <w:b/>
          <w:sz w:val="22"/>
          <w:szCs w:val="20"/>
        </w:rPr>
      </w:pPr>
      <w:r w:rsidRPr="00A61EE4">
        <w:rPr>
          <w:b/>
          <w:bCs/>
          <w:sz w:val="22"/>
          <w:szCs w:val="20"/>
        </w:rPr>
        <w:t xml:space="preserve">В программе </w:t>
      </w:r>
      <w:proofErr w:type="spellStart"/>
      <w:r w:rsidR="00A61EE4" w:rsidRPr="00A61EE4">
        <w:rPr>
          <w:b/>
          <w:bCs/>
          <w:sz w:val="22"/>
          <w:szCs w:val="20"/>
        </w:rPr>
        <w:t>вебинара</w:t>
      </w:r>
      <w:proofErr w:type="spellEnd"/>
      <w:r w:rsidR="00A61EE4" w:rsidRPr="00A61EE4">
        <w:rPr>
          <w:b/>
          <w:bCs/>
          <w:sz w:val="22"/>
          <w:szCs w:val="20"/>
        </w:rPr>
        <w:t xml:space="preserve"> 10 ноября 2020 года</w:t>
      </w:r>
      <w:r w:rsidRPr="00A61EE4">
        <w:rPr>
          <w:b/>
          <w:bCs/>
          <w:sz w:val="22"/>
          <w:szCs w:val="20"/>
        </w:rPr>
        <w:t>:</w:t>
      </w:r>
    </w:p>
    <w:p w:rsidR="00827DC6" w:rsidRPr="00827DC6" w:rsidRDefault="00827DC6" w:rsidP="00827DC6">
      <w:pPr>
        <w:pStyle w:val="aa"/>
        <w:numPr>
          <w:ilvl w:val="0"/>
          <w:numId w:val="15"/>
        </w:numPr>
        <w:jc w:val="both"/>
        <w:rPr>
          <w:b/>
          <w:bCs/>
        </w:rPr>
      </w:pPr>
      <w:r w:rsidRPr="00827DC6">
        <w:rPr>
          <w:b/>
          <w:bCs/>
        </w:rPr>
        <w:t xml:space="preserve">Действующее федеральное законодательство об обращении с животными. </w:t>
      </w:r>
    </w:p>
    <w:p w:rsidR="00827DC6" w:rsidRDefault="00827DC6" w:rsidP="00827DC6">
      <w:pPr>
        <w:ind w:left="426"/>
        <w:jc w:val="both"/>
      </w:pPr>
      <w:r>
        <w:t xml:space="preserve">Его ключевые нормы и требования, которые необходимо учитывать при подготовке закупочной документации. Важность учитывать и собственно ФЗ 498, а также другие федеральные законы, касающиеся данной сферы, а также ВП и СП. Перечень </w:t>
      </w:r>
      <w:proofErr w:type="spellStart"/>
      <w:r>
        <w:t>законодательсва</w:t>
      </w:r>
      <w:proofErr w:type="spellEnd"/>
      <w:r>
        <w:t>, регламентирующего данную сферу, а также обзор ключевых норм законодательства.</w:t>
      </w:r>
    </w:p>
    <w:p w:rsidR="00827DC6" w:rsidRDefault="00827DC6" w:rsidP="00827DC6">
      <w:pPr>
        <w:ind w:left="426"/>
        <w:jc w:val="both"/>
      </w:pPr>
      <w:r>
        <w:t>В частности. Состав мероприятий (услуг), который предусмотрен законодательством в отношении животного без владельца. Принципы обращения с животными и метод регулирования численности популяции.</w:t>
      </w:r>
    </w:p>
    <w:p w:rsidR="00827DC6" w:rsidRDefault="00827DC6" w:rsidP="00827DC6">
      <w:pPr>
        <w:ind w:left="426"/>
        <w:jc w:val="both"/>
      </w:pPr>
      <w:r>
        <w:t>Норма об отлове животных живыми и неповрежденными, с незамедлительной транспортировкой в приют.</w:t>
      </w:r>
    </w:p>
    <w:p w:rsidR="00827DC6" w:rsidRDefault="00827DC6" w:rsidP="00827DC6">
      <w:pPr>
        <w:ind w:left="426"/>
        <w:jc w:val="both"/>
      </w:pPr>
      <w:r>
        <w:t xml:space="preserve">Норма о </w:t>
      </w:r>
      <w:proofErr w:type="spellStart"/>
      <w:r>
        <w:t>видеоъемке</w:t>
      </w:r>
      <w:proofErr w:type="spellEnd"/>
      <w:r>
        <w:t xml:space="preserve"> процесса отлова и выпуска.</w:t>
      </w:r>
    </w:p>
    <w:p w:rsidR="00827DC6" w:rsidRDefault="00827DC6" w:rsidP="00827DC6">
      <w:pPr>
        <w:ind w:left="426"/>
        <w:jc w:val="both"/>
      </w:pPr>
      <w:r>
        <w:t>Требование о содержании исключительно в приюте. Открытость приюта для граждан и прозрачность информации об отловленных и содержащихся животных. Длительность содержания.</w:t>
      </w:r>
    </w:p>
    <w:p w:rsidR="00827DC6" w:rsidRDefault="00827DC6" w:rsidP="00827DC6">
      <w:pPr>
        <w:ind w:left="426"/>
        <w:jc w:val="both"/>
      </w:pPr>
      <w:r>
        <w:t>Запрет умерщвления и вопросы эвтаназии.</w:t>
      </w:r>
    </w:p>
    <w:p w:rsidR="00827DC6" w:rsidRDefault="00827DC6" w:rsidP="00827DC6">
      <w:pPr>
        <w:ind w:left="426"/>
        <w:jc w:val="both"/>
      </w:pPr>
      <w:r>
        <w:t>Основания выбытия из приюта.</w:t>
      </w:r>
    </w:p>
    <w:p w:rsidR="00827DC6" w:rsidRDefault="00827DC6" w:rsidP="00827DC6">
      <w:pPr>
        <w:ind w:left="426"/>
        <w:jc w:val="both"/>
      </w:pPr>
      <w:r>
        <w:t>Порядок работы с агрессивными особями.</w:t>
      </w:r>
    </w:p>
    <w:p w:rsidR="00827DC6" w:rsidRDefault="00827DC6" w:rsidP="00827DC6">
      <w:pPr>
        <w:ind w:left="426"/>
        <w:jc w:val="both"/>
      </w:pPr>
      <w:r>
        <w:t>Пожизненное содержание для определенных особей.</w:t>
      </w:r>
    </w:p>
    <w:p w:rsidR="00827DC6" w:rsidRDefault="00827DC6" w:rsidP="00827DC6">
      <w:pPr>
        <w:ind w:left="426"/>
        <w:jc w:val="both"/>
      </w:pPr>
      <w:r>
        <w:t>И другое.</w:t>
      </w:r>
    </w:p>
    <w:p w:rsidR="00827DC6" w:rsidRDefault="00827DC6" w:rsidP="00827DC6">
      <w:pPr>
        <w:jc w:val="both"/>
      </w:pPr>
    </w:p>
    <w:p w:rsidR="00827DC6" w:rsidRPr="00D0386A" w:rsidRDefault="00827DC6" w:rsidP="00D0386A">
      <w:pPr>
        <w:ind w:firstLine="426"/>
        <w:jc w:val="both"/>
        <w:rPr>
          <w:b/>
          <w:bCs/>
        </w:rPr>
      </w:pPr>
      <w:r>
        <w:rPr>
          <w:b/>
          <w:bCs/>
        </w:rPr>
        <w:t>2.   Требования к составлению закупочной документации и типовые ошибки</w:t>
      </w:r>
    </w:p>
    <w:p w:rsidR="00827DC6" w:rsidRDefault="00827DC6" w:rsidP="00827DC6">
      <w:pPr>
        <w:ind w:firstLine="426"/>
        <w:jc w:val="both"/>
      </w:pPr>
      <w:r>
        <w:t>2.1. Техническое задание и проект контракта.</w:t>
      </w:r>
    </w:p>
    <w:p w:rsidR="00827DC6" w:rsidRDefault="00827DC6" w:rsidP="00827DC6">
      <w:pPr>
        <w:ind w:firstLine="426"/>
        <w:jc w:val="both"/>
      </w:pPr>
      <w:r>
        <w:t>Требования к содержанию Технического задания и проекта контракта.</w:t>
      </w:r>
    </w:p>
    <w:p w:rsidR="00827DC6" w:rsidRDefault="00827DC6" w:rsidP="00827DC6">
      <w:pPr>
        <w:ind w:firstLine="426"/>
        <w:jc w:val="both"/>
      </w:pPr>
      <w:r>
        <w:t xml:space="preserve">Типовые ошибки, встречающиеся в ТЗ. </w:t>
      </w:r>
    </w:p>
    <w:p w:rsidR="00827DC6" w:rsidRDefault="00827DC6" w:rsidP="00827DC6">
      <w:pPr>
        <w:ind w:firstLine="426"/>
        <w:jc w:val="both"/>
      </w:pPr>
      <w:r>
        <w:t>Разбор конкретных примеров нарушений.</w:t>
      </w:r>
    </w:p>
    <w:p w:rsidR="00827DC6" w:rsidRDefault="00827DC6" w:rsidP="00827DC6">
      <w:pPr>
        <w:jc w:val="both"/>
      </w:pPr>
    </w:p>
    <w:p w:rsidR="00827DC6" w:rsidRDefault="00827DC6" w:rsidP="00827DC6">
      <w:pPr>
        <w:shd w:val="clear" w:color="auto" w:fill="FFFFFF"/>
        <w:ind w:left="426"/>
        <w:jc w:val="both"/>
      </w:pPr>
      <w:r>
        <w:t xml:space="preserve">2.2. </w:t>
      </w:r>
      <w:r w:rsidRPr="000128C8">
        <w:t xml:space="preserve">Требования к расчету НМЦК и формированию </w:t>
      </w:r>
      <w:r w:rsidRPr="00827DC6">
        <w:t>Извещения.</w:t>
      </w:r>
    </w:p>
    <w:p w:rsidR="00827DC6" w:rsidRPr="000128C8" w:rsidRDefault="00827DC6" w:rsidP="00827DC6">
      <w:pPr>
        <w:shd w:val="clear" w:color="auto" w:fill="FFFFFF"/>
        <w:ind w:left="426"/>
        <w:jc w:val="both"/>
      </w:pPr>
      <w:r w:rsidRPr="000128C8">
        <w:t xml:space="preserve">В том числе. Специфика закупаемых услуг и необходимость учета требований ч.24 ст.22 и ч.2 ст. 42. Применение норм данных статей к закупкам данного вида услуг. Целесообразность применения данных </w:t>
      </w:r>
      <w:proofErr w:type="gramStart"/>
      <w:r w:rsidRPr="000128C8">
        <w:t>норм</w:t>
      </w:r>
      <w:proofErr w:type="gramEnd"/>
      <w:r w:rsidRPr="000128C8">
        <w:t xml:space="preserve"> прежде всего для самого Заказчика. Установление начальной цены на каждую закупаемую услугу. Выбор метода расчета НМЦК. Способы получения информации для применения метода анализа рынка. Ограничения и применение других методов. Примеры корректного расчета НМЦК и верно сформированного Извещения.</w:t>
      </w:r>
    </w:p>
    <w:p w:rsidR="00827DC6" w:rsidRPr="000128C8" w:rsidRDefault="00827DC6" w:rsidP="00827DC6">
      <w:pPr>
        <w:shd w:val="clear" w:color="auto" w:fill="FFFFFF"/>
        <w:ind w:left="426"/>
        <w:jc w:val="both"/>
      </w:pPr>
      <w:r w:rsidRPr="000128C8">
        <w:t xml:space="preserve">Значение корректно рассчитанной цены как фактор эффективности и результативности закупки. </w:t>
      </w:r>
    </w:p>
    <w:p w:rsidR="00827DC6" w:rsidRPr="00827DC6" w:rsidRDefault="00827DC6" w:rsidP="00827DC6">
      <w:pPr>
        <w:ind w:left="426"/>
        <w:jc w:val="both"/>
      </w:pPr>
      <w:r>
        <w:t>Наиболее часто встречающиеся ошибки. Разбор реальных примеров и их последствий.</w:t>
      </w:r>
    </w:p>
    <w:p w:rsidR="00827DC6" w:rsidRDefault="00827DC6" w:rsidP="00827DC6">
      <w:pPr>
        <w:jc w:val="both"/>
      </w:pPr>
    </w:p>
    <w:p w:rsidR="00827DC6" w:rsidRDefault="00827DC6" w:rsidP="00827DC6">
      <w:pPr>
        <w:jc w:val="both"/>
      </w:pPr>
      <w:r>
        <w:t xml:space="preserve">       2.3. Важность соответствия частей закупочной документации друг другу. Примеры из практики.</w:t>
      </w:r>
    </w:p>
    <w:p w:rsidR="00827DC6" w:rsidRDefault="00827DC6" w:rsidP="00827DC6">
      <w:pPr>
        <w:jc w:val="both"/>
      </w:pPr>
    </w:p>
    <w:p w:rsidR="00827DC6" w:rsidRDefault="00827DC6" w:rsidP="00827DC6">
      <w:pPr>
        <w:jc w:val="both"/>
      </w:pPr>
      <w:r>
        <w:t xml:space="preserve">       2.4. </w:t>
      </w:r>
      <w:proofErr w:type="gramStart"/>
      <w:r>
        <w:t>Корректный ОКПД-2 на данный вид услуг.</w:t>
      </w:r>
      <w:proofErr w:type="gramEnd"/>
    </w:p>
    <w:p w:rsidR="00827DC6" w:rsidRDefault="00827DC6" w:rsidP="00827DC6">
      <w:pPr>
        <w:jc w:val="both"/>
      </w:pPr>
    </w:p>
    <w:p w:rsidR="00827DC6" w:rsidRDefault="00827DC6" w:rsidP="00827DC6">
      <w:pPr>
        <w:ind w:left="426"/>
        <w:jc w:val="both"/>
      </w:pPr>
      <w:r>
        <w:lastRenderedPageBreak/>
        <w:t>2.5. Порядок предоставления разъяснений на запросы разъяснений. Сроки предоставления, порядок оформления. Типовые ошибки Заказчиков из реальной практики.</w:t>
      </w:r>
    </w:p>
    <w:p w:rsidR="00827DC6" w:rsidRPr="00A61EE4" w:rsidRDefault="00A61EE4" w:rsidP="00A61EE4">
      <w:pPr>
        <w:spacing w:before="120" w:after="120"/>
        <w:jc w:val="center"/>
        <w:rPr>
          <w:sz w:val="20"/>
        </w:rPr>
      </w:pPr>
      <w:r w:rsidRPr="00A61EE4">
        <w:rPr>
          <w:b/>
          <w:bCs/>
          <w:sz w:val="22"/>
          <w:szCs w:val="20"/>
        </w:rPr>
        <w:t xml:space="preserve">В программе </w:t>
      </w:r>
      <w:proofErr w:type="spellStart"/>
      <w:r w:rsidRPr="00A61EE4">
        <w:rPr>
          <w:b/>
          <w:bCs/>
          <w:sz w:val="22"/>
          <w:szCs w:val="20"/>
        </w:rPr>
        <w:t>вебинара</w:t>
      </w:r>
      <w:proofErr w:type="spellEnd"/>
      <w:r w:rsidRPr="00A61EE4">
        <w:rPr>
          <w:b/>
          <w:bCs/>
          <w:sz w:val="22"/>
          <w:szCs w:val="20"/>
        </w:rPr>
        <w:t xml:space="preserve"> 11 ноября 2020 года:</w:t>
      </w:r>
    </w:p>
    <w:p w:rsidR="00827DC6" w:rsidRDefault="00827DC6" w:rsidP="00827DC6">
      <w:pPr>
        <w:numPr>
          <w:ilvl w:val="0"/>
          <w:numId w:val="9"/>
        </w:numPr>
        <w:spacing w:after="200" w:line="276" w:lineRule="auto"/>
        <w:ind w:left="426"/>
        <w:jc w:val="both"/>
      </w:pPr>
      <w:r>
        <w:rPr>
          <w:b/>
          <w:bCs/>
        </w:rPr>
        <w:t xml:space="preserve">Рассмотрение ряда Решений, вынесенных УФАС по закупкам данного вида услуг в текущем году. </w:t>
      </w:r>
      <w:r>
        <w:t>Наиболее часто выявляемые нарушения, нарушениями каких статей они признаются. Разбираем конкретные ошибки и Решения.</w:t>
      </w:r>
    </w:p>
    <w:p w:rsidR="00827DC6" w:rsidRDefault="00827DC6" w:rsidP="00D0386A">
      <w:pPr>
        <w:numPr>
          <w:ilvl w:val="0"/>
          <w:numId w:val="9"/>
        </w:num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Организация приемки данного вида услуг с учетом их специфики. </w:t>
      </w:r>
    </w:p>
    <w:p w:rsidR="00827DC6" w:rsidRDefault="00827DC6" w:rsidP="00827DC6">
      <w:pPr>
        <w:ind w:left="426"/>
        <w:jc w:val="both"/>
      </w:pPr>
      <w:r>
        <w:t>Значение приемки и ее специфичность в данном случае. Типовые нарушения при приемке. Ответственность Заказчика. Практические рекомендации по объективной приемке.</w:t>
      </w:r>
    </w:p>
    <w:p w:rsidR="00827DC6" w:rsidRDefault="00827DC6" w:rsidP="00827DC6">
      <w:pPr>
        <w:ind w:left="426"/>
        <w:jc w:val="both"/>
      </w:pPr>
    </w:p>
    <w:p w:rsidR="00827DC6" w:rsidRDefault="00827DC6" w:rsidP="00827DC6">
      <w:pPr>
        <w:ind w:left="426"/>
        <w:jc w:val="both"/>
        <w:rPr>
          <w:b/>
          <w:bCs/>
        </w:rPr>
      </w:pPr>
      <w:r>
        <w:rPr>
          <w:b/>
          <w:bCs/>
        </w:rPr>
        <w:t>5. Возможности развития рынка данных услуг и повышения его привлекательности для добросовестных исполнителей.</w:t>
      </w:r>
    </w:p>
    <w:p w:rsidR="00827DC6" w:rsidRDefault="00827DC6" w:rsidP="00827DC6">
      <w:pPr>
        <w:ind w:left="426"/>
        <w:jc w:val="both"/>
      </w:pPr>
      <w:r>
        <w:t>Роль Заказчика и значение корректно сформированной документации и верного расчета НМЦК для достижения данной цели.</w:t>
      </w:r>
    </w:p>
    <w:p w:rsidR="00827DC6" w:rsidRDefault="00827DC6" w:rsidP="00827DC6">
      <w:pPr>
        <w:ind w:left="426"/>
        <w:jc w:val="both"/>
      </w:pPr>
    </w:p>
    <w:p w:rsidR="00827DC6" w:rsidRDefault="00827DC6" w:rsidP="00827DC6">
      <w:pPr>
        <w:ind w:left="426"/>
        <w:jc w:val="both"/>
        <w:rPr>
          <w:b/>
          <w:bCs/>
        </w:rPr>
      </w:pPr>
      <w:r>
        <w:rPr>
          <w:b/>
          <w:bCs/>
        </w:rPr>
        <w:t>6. Значение работы с населением для решения проблемы переизбытка популяции в целом.</w:t>
      </w:r>
    </w:p>
    <w:p w:rsidR="00827DC6" w:rsidRDefault="00827DC6" w:rsidP="00827DC6">
      <w:pPr>
        <w:ind w:left="426"/>
        <w:jc w:val="both"/>
      </w:pPr>
    </w:p>
    <w:p w:rsidR="00827DC6" w:rsidRDefault="00827DC6" w:rsidP="00827DC6">
      <w:pPr>
        <w:numPr>
          <w:ilvl w:val="0"/>
          <w:numId w:val="10"/>
        </w:numPr>
        <w:spacing w:after="200" w:line="276" w:lineRule="auto"/>
        <w:ind w:left="426"/>
        <w:jc w:val="both"/>
      </w:pPr>
      <w:r>
        <w:t>Резюме информации, изложенной на семинаре. Основные тезисы.</w:t>
      </w:r>
    </w:p>
    <w:p w:rsidR="0081051A" w:rsidRPr="00827DC6" w:rsidRDefault="00827DC6" w:rsidP="00827DC6">
      <w:pPr>
        <w:numPr>
          <w:ilvl w:val="0"/>
          <w:numId w:val="10"/>
        </w:numPr>
        <w:spacing w:after="200" w:line="276" w:lineRule="auto"/>
        <w:ind w:left="426"/>
        <w:jc w:val="both"/>
      </w:pPr>
      <w:r>
        <w:t>Живой диалог. Ответы на вопросы.</w:t>
      </w:r>
      <w:bookmarkStart w:id="0" w:name="_GoBack"/>
      <w:bookmarkEnd w:id="0"/>
    </w:p>
    <w:sectPr w:rsidR="0081051A" w:rsidRPr="00827DC6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353CE"/>
    <w:multiLevelType w:val="singleLevel"/>
    <w:tmpl w:val="4FD2BE9A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abstractNum w:abstractNumId="1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E2ABE"/>
    <w:multiLevelType w:val="singleLevel"/>
    <w:tmpl w:val="C3844CF8"/>
    <w:lvl w:ilvl="0">
      <w:start w:val="7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abstractNum w:abstractNumId="4">
    <w:nsid w:val="233C5B76"/>
    <w:multiLevelType w:val="multilevel"/>
    <w:tmpl w:val="4FA0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137C"/>
    <w:multiLevelType w:val="hybridMultilevel"/>
    <w:tmpl w:val="981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A1FC0"/>
    <w:multiLevelType w:val="hybridMultilevel"/>
    <w:tmpl w:val="A630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5E3E"/>
    <w:multiLevelType w:val="hybridMultilevel"/>
    <w:tmpl w:val="EA2E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F5FF5"/>
    <w:rsid w:val="00137483"/>
    <w:rsid w:val="001674D4"/>
    <w:rsid w:val="001A0796"/>
    <w:rsid w:val="00271BB4"/>
    <w:rsid w:val="00284C6F"/>
    <w:rsid w:val="002E2E80"/>
    <w:rsid w:val="00380088"/>
    <w:rsid w:val="003C1B4A"/>
    <w:rsid w:val="004820BF"/>
    <w:rsid w:val="004E1B74"/>
    <w:rsid w:val="005238BE"/>
    <w:rsid w:val="00524334"/>
    <w:rsid w:val="0057451E"/>
    <w:rsid w:val="005E61A8"/>
    <w:rsid w:val="0062324E"/>
    <w:rsid w:val="00683DC5"/>
    <w:rsid w:val="00697792"/>
    <w:rsid w:val="00780DB3"/>
    <w:rsid w:val="007B3C6A"/>
    <w:rsid w:val="007E5B25"/>
    <w:rsid w:val="0081051A"/>
    <w:rsid w:val="00827DC6"/>
    <w:rsid w:val="0089122A"/>
    <w:rsid w:val="00894B47"/>
    <w:rsid w:val="009447AC"/>
    <w:rsid w:val="00A61EE4"/>
    <w:rsid w:val="00AD2ED0"/>
    <w:rsid w:val="00B15688"/>
    <w:rsid w:val="00B8029C"/>
    <w:rsid w:val="00B814E0"/>
    <w:rsid w:val="00BA3ED4"/>
    <w:rsid w:val="00BC6DA4"/>
    <w:rsid w:val="00BF2FE9"/>
    <w:rsid w:val="00D0386A"/>
    <w:rsid w:val="00D73D25"/>
    <w:rsid w:val="00E22C69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B7C2-EE3C-4888-8C9D-D4DC7C79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dcterms:created xsi:type="dcterms:W3CDTF">2019-05-21T13:50:00Z</dcterms:created>
  <dcterms:modified xsi:type="dcterms:W3CDTF">2020-10-07T13:13:00Z</dcterms:modified>
</cp:coreProperties>
</file>