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14:paraId="1FCC1F8B" w14:textId="77777777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14:paraId="1FCC1F89" w14:textId="77777777"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FCC202E" wp14:editId="1FCC202F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FCC1F8A" w14:textId="77777777"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14:paraId="1FCC1F92" w14:textId="77777777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14:paraId="1FCC1F8C" w14:textId="77777777"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14:paraId="1FCC1F8D" w14:textId="77777777"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14:paraId="1FCC1F8E" w14:textId="77777777"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14:paraId="1FCC1F8F" w14:textId="77777777"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14:paraId="1FCC1F90" w14:textId="510A31F1" w:rsidR="00137483" w:rsidRPr="002479DC" w:rsidRDefault="00DF41BD" w:rsidP="0039708E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F85527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39708E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4C4B4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</w:p>
        </w:tc>
        <w:tc>
          <w:tcPr>
            <w:tcW w:w="6095" w:type="dxa"/>
          </w:tcPr>
          <w:p w14:paraId="1FCC1F91" w14:textId="77777777"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14:paraId="1FCC1F94" w14:textId="77777777" w:rsidR="0063568A" w:rsidRPr="00DB5A7C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sz w:val="22"/>
          <w:szCs w:val="22"/>
          <w:lang w:eastAsia="ar-SA"/>
        </w:rPr>
      </w:pPr>
      <w:r w:rsidRPr="00DB5A7C">
        <w:rPr>
          <w:rFonts w:eastAsia="SimSun" w:cs="Calibri"/>
          <w:spacing w:val="6"/>
          <w:sz w:val="22"/>
          <w:szCs w:val="22"/>
          <w:lang w:eastAsia="ar-SA"/>
        </w:rPr>
        <w:t>Приглашение на</w:t>
      </w:r>
      <w:r w:rsidR="008A06CE" w:rsidRPr="00DB5A7C">
        <w:rPr>
          <w:rFonts w:eastAsia="SimSun" w:cs="Calibri"/>
          <w:spacing w:val="6"/>
          <w:sz w:val="22"/>
          <w:szCs w:val="22"/>
          <w:lang w:eastAsia="ar-SA"/>
        </w:rPr>
        <w:t xml:space="preserve"> </w:t>
      </w:r>
      <w:r w:rsidR="00F03C63" w:rsidRPr="00DB5A7C">
        <w:rPr>
          <w:rFonts w:eastAsia="SimSun" w:cs="Calibri"/>
          <w:spacing w:val="6"/>
          <w:sz w:val="22"/>
          <w:szCs w:val="22"/>
          <w:lang w:eastAsia="ar-SA"/>
        </w:rPr>
        <w:t>курс</w:t>
      </w:r>
      <w:r w:rsidR="000637E5" w:rsidRPr="00DB5A7C">
        <w:rPr>
          <w:rFonts w:eastAsia="SimSun" w:cs="Calibri"/>
          <w:spacing w:val="6"/>
          <w:sz w:val="22"/>
          <w:szCs w:val="22"/>
          <w:lang w:eastAsia="ar-SA"/>
        </w:rPr>
        <w:t xml:space="preserve"> </w:t>
      </w:r>
      <w:r w:rsidR="008A06CE" w:rsidRPr="00DB5A7C">
        <w:rPr>
          <w:rFonts w:eastAsia="SimSun" w:cs="Calibri"/>
          <w:b/>
          <w:spacing w:val="6"/>
          <w:sz w:val="22"/>
          <w:szCs w:val="22"/>
          <w:lang w:eastAsia="ar-SA"/>
        </w:rPr>
        <w:t>ПОВЫШЕНИ</w:t>
      </w:r>
      <w:r w:rsidR="00F03C63" w:rsidRPr="00DB5A7C">
        <w:rPr>
          <w:rFonts w:eastAsia="SimSun" w:cs="Calibri"/>
          <w:b/>
          <w:spacing w:val="6"/>
          <w:sz w:val="22"/>
          <w:szCs w:val="22"/>
          <w:lang w:eastAsia="ar-SA"/>
        </w:rPr>
        <w:t>Я</w:t>
      </w:r>
      <w:r w:rsidR="008A06CE" w:rsidRPr="00DB5A7C">
        <w:rPr>
          <w:rFonts w:eastAsia="SimSun" w:cs="Calibri"/>
          <w:b/>
          <w:spacing w:val="6"/>
          <w:sz w:val="22"/>
          <w:szCs w:val="22"/>
          <w:lang w:eastAsia="ar-SA"/>
        </w:rPr>
        <w:t xml:space="preserve"> КВАЛИФИКАЦИИ</w:t>
      </w:r>
      <w:r w:rsidR="00255226" w:rsidRPr="00DB5A7C">
        <w:rPr>
          <w:rFonts w:eastAsia="SimSun" w:cs="Calibri"/>
          <w:b/>
          <w:spacing w:val="6"/>
          <w:sz w:val="22"/>
          <w:szCs w:val="22"/>
          <w:lang w:eastAsia="ar-SA"/>
        </w:rPr>
        <w:t xml:space="preserve"> в очном формате </w:t>
      </w:r>
      <w:r w:rsidR="0069158A" w:rsidRPr="00DB5A7C">
        <w:rPr>
          <w:rFonts w:eastAsia="SimSun" w:cs="Calibri"/>
          <w:b/>
          <w:spacing w:val="6"/>
          <w:sz w:val="22"/>
          <w:szCs w:val="22"/>
          <w:lang w:eastAsia="ar-SA"/>
        </w:rPr>
        <w:t>в г. Москва</w:t>
      </w:r>
    </w:p>
    <w:tbl>
      <w:tblPr>
        <w:tblStyle w:val="a8"/>
        <w:tblW w:w="11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5723"/>
      </w:tblGrid>
      <w:tr w:rsidR="0069158A" w14:paraId="1FCC1F9C" w14:textId="77777777" w:rsidTr="00AD6935">
        <w:trPr>
          <w:trHeight w:val="2004"/>
          <w:jc w:val="center"/>
        </w:trPr>
        <w:tc>
          <w:tcPr>
            <w:tcW w:w="5299" w:type="dxa"/>
            <w:vAlign w:val="center"/>
          </w:tcPr>
          <w:p w14:paraId="06E664DD" w14:textId="77777777" w:rsidR="00F942FF" w:rsidRPr="00F942FF" w:rsidRDefault="00F942FF" w:rsidP="00A733EA">
            <w:pPr>
              <w:spacing w:line="259" w:lineRule="auto"/>
              <w:jc w:val="center"/>
              <w:rPr>
                <w:b/>
                <w:bCs/>
                <w:sz w:val="28"/>
              </w:rPr>
            </w:pPr>
            <w:r w:rsidRPr="00F942FF">
              <w:rPr>
                <w:b/>
                <w:bCs/>
                <w:sz w:val="28"/>
              </w:rPr>
              <w:t xml:space="preserve">«Особенности осуществления муниципального контроля в сфере благоустройства в условиях моратория: процедуры, проблемы и правоприменительная практика» </w:t>
            </w:r>
          </w:p>
          <w:p w14:paraId="1FCC1F96" w14:textId="4FB81593" w:rsidR="0069158A" w:rsidRPr="00F942FF" w:rsidRDefault="00A733EA" w:rsidP="00A733EA">
            <w:pPr>
              <w:spacing w:line="259" w:lineRule="auto"/>
              <w:jc w:val="center"/>
              <w:rPr>
                <w:b/>
                <w:bCs/>
                <w:sz w:val="28"/>
              </w:rPr>
            </w:pPr>
            <w:r w:rsidRPr="00F942FF">
              <w:rPr>
                <w:b/>
                <w:bCs/>
                <w:sz w:val="28"/>
              </w:rPr>
              <w:t xml:space="preserve">(40 </w:t>
            </w:r>
            <w:proofErr w:type="spellStart"/>
            <w:r w:rsidRPr="00F942FF">
              <w:rPr>
                <w:b/>
                <w:bCs/>
                <w:sz w:val="28"/>
              </w:rPr>
              <w:t>ак</w:t>
            </w:r>
            <w:proofErr w:type="spellEnd"/>
            <w:r w:rsidRPr="00F942FF">
              <w:rPr>
                <w:b/>
                <w:bCs/>
                <w:sz w:val="28"/>
              </w:rPr>
              <w:t>. часов)</w:t>
            </w:r>
          </w:p>
        </w:tc>
        <w:tc>
          <w:tcPr>
            <w:tcW w:w="5723" w:type="dxa"/>
            <w:vAlign w:val="center"/>
          </w:tcPr>
          <w:p w14:paraId="1FCC1F97" w14:textId="16266C07" w:rsidR="008638D1" w:rsidRPr="00F942FF" w:rsidRDefault="00E7438F" w:rsidP="00E462DF">
            <w:pPr>
              <w:jc w:val="center"/>
              <w:outlineLvl w:val="0"/>
              <w:rPr>
                <w:b/>
                <w:color w:val="000000"/>
                <w:sz w:val="28"/>
                <w:szCs w:val="26"/>
              </w:rPr>
            </w:pPr>
            <w:r w:rsidRPr="00F942FF">
              <w:rPr>
                <w:b/>
                <w:color w:val="000000"/>
                <w:sz w:val="28"/>
                <w:szCs w:val="26"/>
              </w:rPr>
              <w:t>2</w:t>
            </w:r>
            <w:r w:rsidR="00F85527" w:rsidRPr="00F942FF">
              <w:rPr>
                <w:b/>
                <w:color w:val="000000"/>
                <w:sz w:val="28"/>
                <w:szCs w:val="26"/>
              </w:rPr>
              <w:t>3</w:t>
            </w:r>
            <w:r w:rsidR="008638D1" w:rsidRPr="00F942FF">
              <w:rPr>
                <w:b/>
                <w:color w:val="000000"/>
                <w:sz w:val="28"/>
                <w:szCs w:val="26"/>
              </w:rPr>
              <w:t>-</w:t>
            </w:r>
            <w:r w:rsidRPr="00F942FF">
              <w:rPr>
                <w:b/>
                <w:color w:val="000000"/>
                <w:sz w:val="28"/>
                <w:szCs w:val="26"/>
              </w:rPr>
              <w:t>2</w:t>
            </w:r>
            <w:r w:rsidR="00242BE3" w:rsidRPr="00F942FF">
              <w:rPr>
                <w:b/>
                <w:color w:val="000000"/>
                <w:sz w:val="28"/>
                <w:szCs w:val="26"/>
              </w:rPr>
              <w:t>7</w:t>
            </w:r>
            <w:r w:rsidR="008638D1" w:rsidRPr="00F942FF">
              <w:rPr>
                <w:b/>
                <w:color w:val="000000"/>
                <w:sz w:val="28"/>
                <w:szCs w:val="26"/>
              </w:rPr>
              <w:t xml:space="preserve"> </w:t>
            </w:r>
            <w:r w:rsidRPr="00F942FF">
              <w:rPr>
                <w:b/>
                <w:color w:val="000000"/>
                <w:sz w:val="28"/>
                <w:szCs w:val="26"/>
              </w:rPr>
              <w:t>апреля</w:t>
            </w:r>
            <w:r w:rsidR="008638D1" w:rsidRPr="00F942FF">
              <w:rPr>
                <w:b/>
                <w:color w:val="000000"/>
                <w:sz w:val="28"/>
                <w:szCs w:val="26"/>
              </w:rPr>
              <w:t xml:space="preserve"> 2024 года</w:t>
            </w:r>
          </w:p>
          <w:p w14:paraId="5AB4AB33" w14:textId="77777777" w:rsidR="00AD6935" w:rsidRDefault="00E7438F" w:rsidP="00AD6935">
            <w:pPr>
              <w:pStyle w:val="1"/>
              <w:spacing w:before="0"/>
              <w:jc w:val="center"/>
              <w:outlineLvl w:val="0"/>
              <w:rPr>
                <w:b w:val="0"/>
                <w:color w:val="000000"/>
                <w:szCs w:val="19"/>
              </w:rPr>
            </w:pPr>
            <w:r w:rsidRPr="00F942FF">
              <w:rPr>
                <w:color w:val="000000"/>
                <w:szCs w:val="19"/>
              </w:rPr>
              <w:t>2</w:t>
            </w:r>
            <w:r w:rsidR="00F85527" w:rsidRPr="00F942FF">
              <w:rPr>
                <w:color w:val="000000"/>
                <w:szCs w:val="19"/>
              </w:rPr>
              <w:t>3</w:t>
            </w:r>
            <w:r w:rsidR="00882BE2" w:rsidRPr="00F942FF">
              <w:rPr>
                <w:color w:val="000000"/>
                <w:szCs w:val="19"/>
              </w:rPr>
              <w:t>-</w:t>
            </w:r>
            <w:r w:rsidRPr="00F942FF">
              <w:rPr>
                <w:color w:val="000000"/>
                <w:szCs w:val="19"/>
              </w:rPr>
              <w:t>24</w:t>
            </w:r>
            <w:r w:rsidR="004C4B46" w:rsidRPr="00F942FF">
              <w:rPr>
                <w:color w:val="000000"/>
                <w:szCs w:val="19"/>
              </w:rPr>
              <w:t xml:space="preserve"> </w:t>
            </w:r>
            <w:r w:rsidRPr="00F942FF">
              <w:rPr>
                <w:color w:val="000000"/>
                <w:szCs w:val="19"/>
              </w:rPr>
              <w:t>апреля</w:t>
            </w:r>
            <w:r w:rsidR="0069158A" w:rsidRPr="00F942FF">
              <w:rPr>
                <w:color w:val="000000"/>
                <w:szCs w:val="19"/>
              </w:rPr>
              <w:t xml:space="preserve"> 202</w:t>
            </w:r>
            <w:r w:rsidR="004E216A" w:rsidRPr="00F942FF">
              <w:rPr>
                <w:color w:val="000000"/>
                <w:szCs w:val="19"/>
              </w:rPr>
              <w:t>4</w:t>
            </w:r>
            <w:r w:rsidR="0069158A" w:rsidRPr="00F942FF">
              <w:rPr>
                <w:color w:val="000000"/>
                <w:szCs w:val="19"/>
              </w:rPr>
              <w:t xml:space="preserve"> года</w:t>
            </w:r>
            <w:r w:rsidRPr="00F942FF">
              <w:rPr>
                <w:color w:val="000000"/>
                <w:szCs w:val="19"/>
              </w:rPr>
              <w:t xml:space="preserve"> – очно в </w:t>
            </w:r>
            <w:r w:rsidRPr="00F942FF">
              <w:rPr>
                <w:b w:val="0"/>
                <w:color w:val="000000"/>
                <w:szCs w:val="19"/>
              </w:rPr>
              <w:t>г. Москва</w:t>
            </w:r>
          </w:p>
          <w:p w14:paraId="3DBCBBC9" w14:textId="77777777" w:rsidR="00AD6935" w:rsidRPr="00AD6935" w:rsidRDefault="00AD6935" w:rsidP="00AD6935"/>
          <w:p w14:paraId="1FCC1F9B" w14:textId="2ED508BB" w:rsidR="00882BE2" w:rsidRPr="00AD6935" w:rsidRDefault="00E7438F" w:rsidP="00AD6935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Cs w:val="22"/>
              </w:rPr>
            </w:pPr>
            <w:r w:rsidRPr="00F942FF">
              <w:rPr>
                <w:color w:val="000000"/>
                <w:szCs w:val="20"/>
              </w:rPr>
              <w:t>25</w:t>
            </w:r>
            <w:r w:rsidR="00E462DF" w:rsidRPr="00F942FF">
              <w:rPr>
                <w:color w:val="000000"/>
                <w:szCs w:val="20"/>
              </w:rPr>
              <w:t>-</w:t>
            </w:r>
            <w:r w:rsidRPr="00F942FF">
              <w:rPr>
                <w:color w:val="000000"/>
                <w:szCs w:val="20"/>
              </w:rPr>
              <w:t>2</w:t>
            </w:r>
            <w:r w:rsidR="00242BE3" w:rsidRPr="00F942FF">
              <w:rPr>
                <w:color w:val="000000"/>
                <w:szCs w:val="20"/>
              </w:rPr>
              <w:t>7</w:t>
            </w:r>
            <w:r w:rsidR="00E462DF" w:rsidRPr="00F942FF">
              <w:rPr>
                <w:color w:val="000000"/>
                <w:szCs w:val="20"/>
              </w:rPr>
              <w:t xml:space="preserve"> </w:t>
            </w:r>
            <w:r w:rsidRPr="00F942FF">
              <w:rPr>
                <w:color w:val="000000"/>
                <w:szCs w:val="20"/>
              </w:rPr>
              <w:t>апреля</w:t>
            </w:r>
            <w:r w:rsidR="00E462DF" w:rsidRPr="00F942FF">
              <w:rPr>
                <w:color w:val="000000"/>
                <w:szCs w:val="20"/>
              </w:rPr>
              <w:t xml:space="preserve"> 2024 года</w:t>
            </w:r>
            <w:r w:rsidR="00E462DF" w:rsidRPr="00F942FF">
              <w:rPr>
                <w:i/>
                <w:color w:val="000000"/>
                <w:szCs w:val="20"/>
              </w:rPr>
              <w:t xml:space="preserve"> - </w:t>
            </w:r>
            <w:r w:rsidR="00E462DF" w:rsidRPr="00F942FF">
              <w:rPr>
                <w:color w:val="000000"/>
                <w:szCs w:val="19"/>
              </w:rPr>
              <w:t>самостоятельное изучение материала, сдача итогового теста</w:t>
            </w:r>
          </w:p>
        </w:tc>
      </w:tr>
    </w:tbl>
    <w:p w14:paraId="1FCC1F9D" w14:textId="77777777" w:rsidR="00290CE9" w:rsidRPr="008A06CE" w:rsidRDefault="00290CE9">
      <w:pPr>
        <w:rPr>
          <w:sz w:val="2"/>
        </w:rPr>
      </w:pPr>
    </w:p>
    <w:p w14:paraId="0B6A8766" w14:textId="77777777" w:rsidR="009A428B" w:rsidRPr="0072538A" w:rsidRDefault="009A428B" w:rsidP="00EF1466">
      <w:pPr>
        <w:jc w:val="center"/>
        <w:rPr>
          <w:b/>
          <w:i/>
          <w:color w:val="FF0000"/>
          <w:sz w:val="2"/>
          <w:szCs w:val="20"/>
        </w:rPr>
      </w:pPr>
    </w:p>
    <w:p w14:paraId="1FCC1F9F" w14:textId="77777777" w:rsidR="00EF1466" w:rsidRDefault="008A06CE" w:rsidP="0072538A">
      <w:pPr>
        <w:spacing w:before="240"/>
        <w:jc w:val="center"/>
        <w:rPr>
          <w:b/>
          <w:i/>
        </w:rPr>
      </w:pPr>
      <w:r w:rsidRPr="0072538A">
        <w:rPr>
          <w:b/>
          <w:i/>
        </w:rPr>
        <w:t xml:space="preserve">ПРОГРАММА </w:t>
      </w:r>
      <w:r w:rsidR="007E0D52" w:rsidRPr="0072538A">
        <w:rPr>
          <w:b/>
          <w:i/>
        </w:rPr>
        <w:t>ПОВЫШЕНИЯ КВАЛИФИКАЦИИ</w:t>
      </w:r>
    </w:p>
    <w:p w14:paraId="089BBA07" w14:textId="77777777" w:rsidR="0072538A" w:rsidRDefault="0072538A" w:rsidP="0072538A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>(возможны текущие изменения в программе по мере принятия законодательных актов РФ)</w:t>
      </w:r>
    </w:p>
    <w:p w14:paraId="62C5C2AC" w14:textId="526A6E99" w:rsidR="002A2FA5" w:rsidRPr="00F942FF" w:rsidRDefault="00E7438F" w:rsidP="00E7438F">
      <w:pPr>
        <w:pStyle w:val="Default"/>
        <w:spacing w:before="120" w:after="120"/>
        <w:jc w:val="center"/>
        <w:rPr>
          <w:color w:val="auto"/>
          <w:szCs w:val="22"/>
          <w:u w:color="000000"/>
        </w:rPr>
      </w:pPr>
      <w:r w:rsidRPr="00F942FF">
        <w:rPr>
          <w:rStyle w:val="ListLabel10"/>
          <w:rFonts w:eastAsiaTheme="minorEastAsia"/>
          <w:b/>
          <w:color w:val="auto"/>
          <w:sz w:val="24"/>
          <w:szCs w:val="22"/>
          <w:u w:val="single"/>
        </w:rPr>
        <w:t>23 апреля 2024 года</w:t>
      </w:r>
      <w:r w:rsidR="002A2FA5" w:rsidRPr="00F942FF">
        <w:rPr>
          <w:rStyle w:val="ListLabel10"/>
          <w:rFonts w:eastAsiaTheme="minorEastAsia"/>
          <w:color w:val="auto"/>
          <w:sz w:val="24"/>
          <w:szCs w:val="22"/>
        </w:rPr>
        <w:t xml:space="preserve"> </w:t>
      </w:r>
      <w:r w:rsidRPr="00F942FF">
        <w:rPr>
          <w:rStyle w:val="ListLabel10"/>
          <w:rFonts w:eastAsiaTheme="minorEastAsia"/>
          <w:color w:val="auto"/>
          <w:sz w:val="24"/>
          <w:szCs w:val="22"/>
        </w:rPr>
        <w:t xml:space="preserve">(вторник) </w:t>
      </w:r>
      <w:r w:rsidR="002A2FA5" w:rsidRPr="00F942FF">
        <w:rPr>
          <w:rStyle w:val="ListLabel10"/>
          <w:rFonts w:eastAsiaTheme="minorEastAsia"/>
          <w:color w:val="auto"/>
          <w:sz w:val="24"/>
          <w:szCs w:val="22"/>
        </w:rPr>
        <w:t>с 10.</w:t>
      </w:r>
      <w:r w:rsidR="00F942FF" w:rsidRPr="00F942FF">
        <w:rPr>
          <w:rStyle w:val="ListLabel10"/>
          <w:rFonts w:eastAsiaTheme="minorEastAsia"/>
          <w:color w:val="auto"/>
          <w:sz w:val="24"/>
          <w:szCs w:val="22"/>
        </w:rPr>
        <w:t>3</w:t>
      </w:r>
      <w:r w:rsidR="002A2FA5" w:rsidRPr="00F942FF">
        <w:rPr>
          <w:rStyle w:val="ListLabel10"/>
          <w:rFonts w:eastAsiaTheme="minorEastAsia"/>
          <w:color w:val="auto"/>
          <w:sz w:val="24"/>
          <w:szCs w:val="22"/>
        </w:rPr>
        <w:t>0 до 1</w:t>
      </w:r>
      <w:r w:rsidR="00F942FF" w:rsidRPr="00F942FF">
        <w:rPr>
          <w:rStyle w:val="ListLabel10"/>
          <w:rFonts w:eastAsiaTheme="minorEastAsia"/>
          <w:color w:val="auto"/>
          <w:sz w:val="24"/>
          <w:szCs w:val="22"/>
        </w:rPr>
        <w:t>3</w:t>
      </w:r>
      <w:r w:rsidR="002A2FA5" w:rsidRPr="00F942FF">
        <w:rPr>
          <w:rStyle w:val="ListLabel10"/>
          <w:rFonts w:eastAsiaTheme="minorEastAsia"/>
          <w:color w:val="auto"/>
          <w:sz w:val="24"/>
          <w:szCs w:val="22"/>
        </w:rPr>
        <w:t>.</w:t>
      </w:r>
      <w:r w:rsidR="00F942FF" w:rsidRPr="00F942FF">
        <w:rPr>
          <w:rStyle w:val="ListLabel10"/>
          <w:rFonts w:eastAsiaTheme="minorEastAsia"/>
          <w:color w:val="auto"/>
          <w:sz w:val="24"/>
          <w:szCs w:val="22"/>
        </w:rPr>
        <w:t>3</w:t>
      </w:r>
      <w:r w:rsidR="002A2FA5" w:rsidRPr="00F942FF">
        <w:rPr>
          <w:rStyle w:val="ListLabel10"/>
          <w:rFonts w:eastAsiaTheme="minorEastAsia"/>
          <w:color w:val="auto"/>
          <w:sz w:val="24"/>
          <w:szCs w:val="22"/>
        </w:rPr>
        <w:t xml:space="preserve">0 </w:t>
      </w:r>
    </w:p>
    <w:p w14:paraId="1FCC1FA1" w14:textId="77777777" w:rsidR="004E216A" w:rsidRPr="00F942FF" w:rsidRDefault="004E216A" w:rsidP="00DB5A7C">
      <w:pPr>
        <w:ind w:left="426"/>
        <w:rPr>
          <w:b/>
          <w:szCs w:val="22"/>
        </w:rPr>
      </w:pPr>
      <w:r w:rsidRPr="00F942FF">
        <w:rPr>
          <w:b/>
          <w:szCs w:val="22"/>
        </w:rPr>
        <w:t>Общий алгоритм контрольной (надзорной) деятельности. Планирование – основа эффективной работы.</w:t>
      </w:r>
    </w:p>
    <w:p w14:paraId="1FCC1FA2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 xml:space="preserve">1. Выстраивание общей логики контрольной (надзорной) деятельности. Как сделать работу эффективной и целенаправленной? </w:t>
      </w:r>
    </w:p>
    <w:p w14:paraId="1FCC1FA3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 xml:space="preserve">2. Ключевые инструменты и процедуры, которые необходимо освоить для осуществления КНД. </w:t>
      </w:r>
    </w:p>
    <w:p w14:paraId="1FCC1FA4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 xml:space="preserve">3. Инструменты отраслевого законодательства, которые можем использовать для целей контроля. </w:t>
      </w:r>
    </w:p>
    <w:p w14:paraId="1FCC1FA5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4. Виды плановых документов в муниципальном контроле. Формы, сроки и порядок подготовки.</w:t>
      </w:r>
    </w:p>
    <w:p w14:paraId="1FCC1FA6" w14:textId="77777777" w:rsidR="00060BA8" w:rsidRPr="00F942FF" w:rsidRDefault="004E216A" w:rsidP="00DB5A7C">
      <w:pPr>
        <w:ind w:left="426"/>
        <w:rPr>
          <w:b/>
          <w:szCs w:val="22"/>
        </w:rPr>
      </w:pPr>
      <w:r w:rsidRPr="00F942FF">
        <w:rPr>
          <w:b/>
          <w:szCs w:val="22"/>
        </w:rPr>
        <w:t xml:space="preserve"> Особенности осуществления муниципального контроля в период моратория и до 2030 года.</w:t>
      </w:r>
    </w:p>
    <w:p w14:paraId="1FCC1FA7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 xml:space="preserve">1. Особенности работы в период моратория до 2030 года, общие направления работы. </w:t>
      </w:r>
    </w:p>
    <w:p w14:paraId="1FCC1FA8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 xml:space="preserve">2. Использование системы управления рисками до 2030 года. Особенности планирования КНМ. Отказ от системы управления рисками. </w:t>
      </w:r>
    </w:p>
    <w:p w14:paraId="1FCC1FA9" w14:textId="77777777" w:rsidR="00060BA8" w:rsidRPr="00F942FF" w:rsidRDefault="004E216A" w:rsidP="00DB5A7C">
      <w:pPr>
        <w:ind w:left="426"/>
        <w:rPr>
          <w:b/>
          <w:szCs w:val="22"/>
        </w:rPr>
      </w:pPr>
      <w:r w:rsidRPr="00F942FF">
        <w:rPr>
          <w:b/>
          <w:szCs w:val="22"/>
        </w:rPr>
        <w:t>Обеспечение приоритета профилактики в муниципальном контроле.</w:t>
      </w:r>
    </w:p>
    <w:p w14:paraId="1FCC1FAA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1. Профилактика (алгоритмы проведения ключевых профилактических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мероприятий, образцы документов при проведении профилактики).</w:t>
      </w:r>
    </w:p>
    <w:p w14:paraId="1FCC1FAB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2. Профилактический визит. Виды. Порядок проведения каждого вида, в том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числе от проведения которого контролируемое лицо не вправе отказаться.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 xml:space="preserve">Выдача предписания по итогам. Инициативный </w:t>
      </w:r>
      <w:proofErr w:type="spellStart"/>
      <w:r w:rsidRPr="00F942FF">
        <w:rPr>
          <w:szCs w:val="22"/>
        </w:rPr>
        <w:t>профвизит</w:t>
      </w:r>
      <w:proofErr w:type="spellEnd"/>
      <w:r w:rsidRPr="00F942FF">
        <w:rPr>
          <w:szCs w:val="22"/>
        </w:rPr>
        <w:t>.</w:t>
      </w:r>
    </w:p>
    <w:p w14:paraId="1FCC1FAC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3. Предостережение. Пошаговый алгоритм объявления. Подготовка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мотивированного представления и иных документов.</w:t>
      </w:r>
    </w:p>
    <w:p w14:paraId="1FCC1FAD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4. Иные виды профилактики, особенности и ключевые ошибки.</w:t>
      </w:r>
      <w:r w:rsidR="00060BA8" w:rsidRPr="00F942FF">
        <w:rPr>
          <w:szCs w:val="22"/>
        </w:rPr>
        <w:t xml:space="preserve"> </w:t>
      </w:r>
    </w:p>
    <w:p w14:paraId="1FCC1FAE" w14:textId="77777777" w:rsidR="00060BA8" w:rsidRPr="00F942FF" w:rsidRDefault="004E216A" w:rsidP="00DB5A7C">
      <w:pPr>
        <w:ind w:left="426"/>
        <w:rPr>
          <w:b/>
          <w:szCs w:val="22"/>
        </w:rPr>
      </w:pPr>
      <w:r w:rsidRPr="00F942FF">
        <w:rPr>
          <w:b/>
          <w:szCs w:val="22"/>
        </w:rPr>
        <w:t>Контрольные (надзорные) мероприятия без взаимодействия.</w:t>
      </w:r>
    </w:p>
    <w:p w14:paraId="1FCC1FAF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1. Проведение КНМ без взаимодействия: наблюдение и выездное обследование.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Пошаговый алгоритм. Основания и результаты. Акт (заключение) КНМ без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взаимодействия. Образцы документов, порядок заполнения.</w:t>
      </w:r>
      <w:r w:rsidRPr="00F942FF">
        <w:rPr>
          <w:szCs w:val="22"/>
        </w:rPr>
        <w:br/>
        <w:t>2. Наблюдение (мониторинг безопасности). Практика применения.</w:t>
      </w:r>
    </w:p>
    <w:p w14:paraId="5EF0A95D" w14:textId="19B5B636" w:rsidR="00191A76" w:rsidRPr="00F942FF" w:rsidRDefault="004E216A" w:rsidP="00F942FF">
      <w:pPr>
        <w:ind w:left="426"/>
        <w:rPr>
          <w:szCs w:val="22"/>
        </w:rPr>
      </w:pPr>
      <w:r w:rsidRPr="00F942FF">
        <w:rPr>
          <w:szCs w:val="22"/>
        </w:rPr>
        <w:t>3. Выездное обследование в муниципальном контроле в сфере благоустройства.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Особенности выдачи предписаний и привлечения к административной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ответственности.</w:t>
      </w:r>
    </w:p>
    <w:p w14:paraId="1FCC1FB1" w14:textId="723FDBF5" w:rsidR="00060BA8" w:rsidRPr="00F942FF" w:rsidRDefault="00E7438F" w:rsidP="00060BA8">
      <w:pPr>
        <w:pStyle w:val="Default"/>
        <w:spacing w:before="120" w:after="120"/>
        <w:jc w:val="center"/>
        <w:rPr>
          <w:rStyle w:val="ListLabel10"/>
          <w:rFonts w:eastAsiaTheme="minorEastAsia"/>
          <w:color w:val="auto"/>
          <w:sz w:val="24"/>
          <w:szCs w:val="22"/>
        </w:rPr>
      </w:pPr>
      <w:r w:rsidRPr="00F942FF">
        <w:rPr>
          <w:rStyle w:val="ListLabel10"/>
          <w:rFonts w:eastAsiaTheme="minorEastAsia"/>
          <w:b/>
          <w:color w:val="auto"/>
          <w:sz w:val="24"/>
          <w:szCs w:val="22"/>
          <w:u w:val="single"/>
        </w:rPr>
        <w:t>24 апреля 2024 года</w:t>
      </w:r>
      <w:r w:rsidRPr="00F942FF">
        <w:rPr>
          <w:rStyle w:val="ListLabel10"/>
          <w:rFonts w:eastAsiaTheme="minorEastAsia"/>
          <w:color w:val="auto"/>
          <w:sz w:val="24"/>
          <w:szCs w:val="22"/>
        </w:rPr>
        <w:t xml:space="preserve"> </w:t>
      </w:r>
      <w:r w:rsidR="00060BA8" w:rsidRPr="00F942FF">
        <w:rPr>
          <w:rStyle w:val="ListLabel10"/>
          <w:rFonts w:eastAsiaTheme="minorEastAsia"/>
          <w:color w:val="auto"/>
          <w:sz w:val="24"/>
          <w:szCs w:val="22"/>
        </w:rPr>
        <w:t xml:space="preserve">(среда) </w:t>
      </w:r>
      <w:r w:rsidR="00DB5A7C" w:rsidRPr="00F942FF">
        <w:rPr>
          <w:rStyle w:val="ListLabel10"/>
          <w:rFonts w:eastAsiaTheme="minorEastAsia"/>
          <w:color w:val="auto"/>
          <w:sz w:val="24"/>
          <w:szCs w:val="22"/>
        </w:rPr>
        <w:t>с 10.</w:t>
      </w:r>
      <w:r w:rsidR="00F942FF" w:rsidRPr="00F942FF">
        <w:rPr>
          <w:rStyle w:val="ListLabel10"/>
          <w:rFonts w:eastAsiaTheme="minorEastAsia"/>
          <w:color w:val="auto"/>
          <w:sz w:val="24"/>
          <w:szCs w:val="22"/>
        </w:rPr>
        <w:t>3</w:t>
      </w:r>
      <w:r w:rsidR="00DB5A7C" w:rsidRPr="00F942FF">
        <w:rPr>
          <w:rStyle w:val="ListLabel10"/>
          <w:rFonts w:eastAsiaTheme="minorEastAsia"/>
          <w:color w:val="auto"/>
          <w:sz w:val="24"/>
          <w:szCs w:val="22"/>
        </w:rPr>
        <w:t>0 до 1</w:t>
      </w:r>
      <w:r w:rsidR="00F942FF" w:rsidRPr="00F942FF">
        <w:rPr>
          <w:rStyle w:val="ListLabel10"/>
          <w:rFonts w:eastAsiaTheme="minorEastAsia"/>
          <w:color w:val="auto"/>
          <w:sz w:val="24"/>
          <w:szCs w:val="22"/>
        </w:rPr>
        <w:t>6</w:t>
      </w:r>
      <w:r w:rsidR="00DB5A7C" w:rsidRPr="00F942FF">
        <w:rPr>
          <w:rStyle w:val="ListLabel10"/>
          <w:rFonts w:eastAsiaTheme="minorEastAsia"/>
          <w:color w:val="auto"/>
          <w:sz w:val="24"/>
          <w:szCs w:val="22"/>
        </w:rPr>
        <w:t>.</w:t>
      </w:r>
      <w:r w:rsidR="00F942FF" w:rsidRPr="00F942FF">
        <w:rPr>
          <w:rStyle w:val="ListLabel10"/>
          <w:rFonts w:eastAsiaTheme="minorEastAsia"/>
          <w:color w:val="auto"/>
          <w:sz w:val="24"/>
          <w:szCs w:val="22"/>
        </w:rPr>
        <w:t>3</w:t>
      </w:r>
      <w:r w:rsidR="00DB5A7C" w:rsidRPr="00F942FF">
        <w:rPr>
          <w:rStyle w:val="ListLabel10"/>
          <w:rFonts w:eastAsiaTheme="minorEastAsia"/>
          <w:color w:val="auto"/>
          <w:sz w:val="24"/>
          <w:szCs w:val="22"/>
        </w:rPr>
        <w:t>0</w:t>
      </w:r>
      <w:r w:rsidR="00060BA8" w:rsidRPr="00F942FF">
        <w:rPr>
          <w:rStyle w:val="ListLabel10"/>
          <w:rFonts w:eastAsiaTheme="minorEastAsia"/>
          <w:color w:val="auto"/>
          <w:sz w:val="24"/>
          <w:szCs w:val="22"/>
        </w:rPr>
        <w:t xml:space="preserve"> </w:t>
      </w:r>
    </w:p>
    <w:p w14:paraId="6CD06A85" w14:textId="77777777" w:rsidR="007642F5" w:rsidRPr="00F942FF" w:rsidRDefault="007642F5" w:rsidP="007642F5">
      <w:pPr>
        <w:ind w:left="426"/>
        <w:rPr>
          <w:b/>
          <w:szCs w:val="22"/>
        </w:rPr>
      </w:pPr>
      <w:r w:rsidRPr="00F942FF">
        <w:rPr>
          <w:b/>
          <w:szCs w:val="22"/>
        </w:rPr>
        <w:t>Контрольные (надзорные) мероприятия со взаимодействием.</w:t>
      </w:r>
    </w:p>
    <w:p w14:paraId="12935267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1. Проведение КНМ со взаимодействием: общая схема. Образцы документов, порядок заполнения.</w:t>
      </w:r>
    </w:p>
    <w:p w14:paraId="38CCE40E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2. Порядок действий при поступлении информации (обращения гражданина) о нарушении.</w:t>
      </w:r>
    </w:p>
    <w:p w14:paraId="2755AE20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3. Оценка достоверности – порядок проведения.</w:t>
      </w:r>
    </w:p>
    <w:p w14:paraId="1D05CE94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4. Основания проведения КНМ со взаимодействием.</w:t>
      </w:r>
    </w:p>
    <w:p w14:paraId="02D2CC27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5. Индикаторы риска. Формула эффективного построения. Набор индикаторов. Разбор примеров.</w:t>
      </w:r>
    </w:p>
    <w:p w14:paraId="6BEE931C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lastRenderedPageBreak/>
        <w:t>6. Особенности согласования КНМ со взаимодействием с органами прокуратуры. Разбор ошибок.</w:t>
      </w:r>
    </w:p>
    <w:p w14:paraId="3A8E9A0D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7. Оформление контрольных (надзорных) действий. Формы документов (протоколы, акты).</w:t>
      </w:r>
    </w:p>
    <w:p w14:paraId="0BB8BF77" w14:textId="77777777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8. Оформление КНМ. Акт КНМ. Случаи обязательного составления и без составления акта.</w:t>
      </w:r>
    </w:p>
    <w:p w14:paraId="3BDEC8F6" w14:textId="48D30853" w:rsidR="007642F5" w:rsidRPr="00F942FF" w:rsidRDefault="007642F5" w:rsidP="007642F5">
      <w:pPr>
        <w:ind w:left="426"/>
        <w:rPr>
          <w:szCs w:val="22"/>
        </w:rPr>
      </w:pPr>
      <w:r w:rsidRPr="00F942FF">
        <w:rPr>
          <w:szCs w:val="22"/>
        </w:rPr>
        <w:t>9. Решение по итогам КНМ. Предписание.</w:t>
      </w:r>
    </w:p>
    <w:p w14:paraId="1FCC1FBC" w14:textId="122F4E62" w:rsidR="00060BA8" w:rsidRPr="00F942FF" w:rsidRDefault="004E216A" w:rsidP="00DB5A7C">
      <w:pPr>
        <w:ind w:left="426"/>
        <w:rPr>
          <w:b/>
          <w:szCs w:val="22"/>
        </w:rPr>
      </w:pPr>
      <w:r w:rsidRPr="00F942FF">
        <w:rPr>
          <w:b/>
          <w:szCs w:val="22"/>
        </w:rPr>
        <w:t>Сложные процедурные вопросы процедур КНД.</w:t>
      </w:r>
    </w:p>
    <w:p w14:paraId="1FCC1FBD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1. Порядок действий при отсутствии контролируемого лица при проведении КНМ.</w:t>
      </w:r>
    </w:p>
    <w:p w14:paraId="1FCC1FBE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2. Способы фото- и видео-фиксации. Право или обязанность инспектора.</w:t>
      </w:r>
      <w:r w:rsidR="00060BA8" w:rsidRPr="00F942FF">
        <w:rPr>
          <w:szCs w:val="22"/>
        </w:rPr>
        <w:t xml:space="preserve"> </w:t>
      </w:r>
    </w:p>
    <w:p w14:paraId="1FCC1FBF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3. Исполнение решения. Отсрочка. Приостановление. Прекращение.</w:t>
      </w:r>
    </w:p>
    <w:p w14:paraId="1FCC1FC0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4. Работа с предписаниями, выданными до моратория и в период действия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 xml:space="preserve">Федерального закона </w:t>
      </w:r>
      <w:proofErr w:type="spellStart"/>
      <w:r w:rsidRPr="00F942FF">
        <w:rPr>
          <w:szCs w:val="22"/>
        </w:rPr>
        <w:t>No</w:t>
      </w:r>
      <w:proofErr w:type="spellEnd"/>
      <w:r w:rsidRPr="00F942FF">
        <w:rPr>
          <w:szCs w:val="22"/>
        </w:rPr>
        <w:t xml:space="preserve"> 294-ФЗ.</w:t>
      </w:r>
    </w:p>
    <w:p w14:paraId="1FCC1FC1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5. Окончание исполнения решения. Действия КНО по контролю исполнения.</w:t>
      </w:r>
    </w:p>
    <w:p w14:paraId="1FCC1FC2" w14:textId="77777777" w:rsidR="00060BA8" w:rsidRPr="00F942FF" w:rsidRDefault="004E216A" w:rsidP="00DB5A7C">
      <w:pPr>
        <w:ind w:left="426"/>
        <w:rPr>
          <w:b/>
          <w:szCs w:val="22"/>
        </w:rPr>
      </w:pPr>
      <w:r w:rsidRPr="00F942FF">
        <w:rPr>
          <w:b/>
          <w:szCs w:val="22"/>
        </w:rPr>
        <w:t>Административная ответственность контролируемых лиц.</w:t>
      </w:r>
    </w:p>
    <w:p w14:paraId="1FCC1FC3" w14:textId="77777777" w:rsidR="00060BA8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1. Привлечение к административной ответственности. Особенности соотношения</w:t>
      </w:r>
      <w:r w:rsidR="00060BA8" w:rsidRPr="00F942FF">
        <w:rPr>
          <w:szCs w:val="22"/>
        </w:rPr>
        <w:t xml:space="preserve"> </w:t>
      </w:r>
      <w:r w:rsidRPr="00F942FF">
        <w:rPr>
          <w:szCs w:val="22"/>
        </w:rPr>
        <w:t>с контрольно-надзорной деятельностью.</w:t>
      </w:r>
      <w:r w:rsidR="00060BA8" w:rsidRPr="00F942FF">
        <w:rPr>
          <w:szCs w:val="22"/>
        </w:rPr>
        <w:t xml:space="preserve"> </w:t>
      </w:r>
    </w:p>
    <w:p w14:paraId="1FCC1FC4" w14:textId="77777777" w:rsidR="004E216A" w:rsidRPr="00F942FF" w:rsidRDefault="004E216A" w:rsidP="00DB5A7C">
      <w:pPr>
        <w:ind w:left="426"/>
        <w:rPr>
          <w:szCs w:val="22"/>
        </w:rPr>
      </w:pPr>
      <w:r w:rsidRPr="00F942FF">
        <w:rPr>
          <w:szCs w:val="22"/>
        </w:rPr>
        <w:t>2. Судебная практика.</w:t>
      </w:r>
    </w:p>
    <w:p w14:paraId="183E61E7" w14:textId="2387F220" w:rsidR="00FE538D" w:rsidRPr="00F942FF" w:rsidRDefault="00FE538D" w:rsidP="00FE538D">
      <w:pPr>
        <w:spacing w:line="259" w:lineRule="auto"/>
        <w:ind w:firstLine="426"/>
        <w:rPr>
          <w:iCs/>
          <w:szCs w:val="22"/>
        </w:rPr>
      </w:pPr>
      <w:r w:rsidRPr="00F942FF">
        <w:rPr>
          <w:b/>
          <w:bCs/>
          <w:szCs w:val="22"/>
        </w:rPr>
        <w:t>Особенности осуществления муниципального контроля в сфере благоустройства:</w:t>
      </w:r>
    </w:p>
    <w:p w14:paraId="68E809BE" w14:textId="4E16B8F2" w:rsidR="00FE538D" w:rsidRPr="00F942FF" w:rsidRDefault="00FE538D" w:rsidP="00FE538D">
      <w:pPr>
        <w:ind w:left="708"/>
        <w:rPr>
          <w:szCs w:val="22"/>
        </w:rPr>
      </w:pPr>
      <w:r w:rsidRPr="00F942FF">
        <w:rPr>
          <w:szCs w:val="22"/>
        </w:rPr>
        <w:t>- муниципальный контроль в сфере благоустройства: особенности концепции, перспективы, возможные модели регулирования. Реализация Концепции совершенствования КНД до 2026 года.</w:t>
      </w:r>
    </w:p>
    <w:p w14:paraId="28CAA31A" w14:textId="24933810" w:rsidR="00FE538D" w:rsidRPr="00F942FF" w:rsidRDefault="00FE538D" w:rsidP="00FE538D">
      <w:pPr>
        <w:ind w:left="708"/>
        <w:rPr>
          <w:szCs w:val="22"/>
        </w:rPr>
      </w:pPr>
      <w:r w:rsidRPr="00F942FF">
        <w:rPr>
          <w:szCs w:val="22"/>
        </w:rPr>
        <w:t>- предмет вида контроля. Правила благоустройства – основные требования, ошибки. Значение правил благоустройства для эффективного осуществления контроля.</w:t>
      </w:r>
    </w:p>
    <w:p w14:paraId="00DFF790" w14:textId="5F891AE9" w:rsidR="00FE538D" w:rsidRPr="00F942FF" w:rsidRDefault="00FE538D" w:rsidP="00FE538D">
      <w:pPr>
        <w:ind w:left="708"/>
        <w:rPr>
          <w:szCs w:val="22"/>
        </w:rPr>
      </w:pPr>
      <w:r w:rsidRPr="00F942FF">
        <w:rPr>
          <w:szCs w:val="22"/>
        </w:rPr>
        <w:t>- содержание правил благоустройства с учетом анализа судебной практики. Юридико-технические приемы для повышения эффективности работы.</w:t>
      </w:r>
    </w:p>
    <w:p w14:paraId="2B28FDFF" w14:textId="3859CBD1" w:rsidR="00FE538D" w:rsidRPr="00F942FF" w:rsidRDefault="00FE538D" w:rsidP="00FE538D">
      <w:pPr>
        <w:ind w:left="708"/>
        <w:rPr>
          <w:szCs w:val="22"/>
        </w:rPr>
      </w:pPr>
      <w:r w:rsidRPr="00F942FF">
        <w:rPr>
          <w:szCs w:val="22"/>
        </w:rPr>
        <w:t xml:space="preserve">- объекты контроля в благоустройстве. Контролируемые лица, особенности для физических лиц. Особенности для организаций, имеющих лицензию. </w:t>
      </w:r>
    </w:p>
    <w:p w14:paraId="5EA4D955" w14:textId="055F053E" w:rsidR="00FE538D" w:rsidRPr="00F942FF" w:rsidRDefault="00FE538D" w:rsidP="00FE538D">
      <w:pPr>
        <w:ind w:left="708"/>
        <w:rPr>
          <w:szCs w:val="22"/>
        </w:rPr>
      </w:pPr>
      <w:r w:rsidRPr="00F942FF">
        <w:rPr>
          <w:szCs w:val="22"/>
        </w:rPr>
        <w:t>- профилактика в благоустройстве. Информирование, профилактический визит. Лучшие правоприменительные практики. Особенности работы в социальных сетях.</w:t>
      </w:r>
    </w:p>
    <w:p w14:paraId="4D9504DA" w14:textId="506E74A2" w:rsidR="00FE538D" w:rsidRPr="00F942FF" w:rsidRDefault="00FE538D" w:rsidP="00FE538D">
      <w:pPr>
        <w:ind w:left="708"/>
        <w:rPr>
          <w:szCs w:val="22"/>
        </w:rPr>
      </w:pPr>
      <w:r w:rsidRPr="00F942FF">
        <w:rPr>
          <w:szCs w:val="22"/>
        </w:rPr>
        <w:t>- разграничение оснований для выдачи предписания и объявления предостережения: где провести границу?</w:t>
      </w:r>
    </w:p>
    <w:p w14:paraId="646436AD" w14:textId="3C981FBE" w:rsidR="0072538A" w:rsidRPr="00F942FF" w:rsidRDefault="00FE538D" w:rsidP="00FE538D">
      <w:pPr>
        <w:spacing w:line="259" w:lineRule="auto"/>
        <w:ind w:left="708"/>
        <w:rPr>
          <w:iCs/>
          <w:szCs w:val="22"/>
        </w:rPr>
      </w:pPr>
      <w:r w:rsidRPr="00F942FF">
        <w:rPr>
          <w:iCs/>
          <w:szCs w:val="22"/>
        </w:rPr>
        <w:t>- в</w:t>
      </w:r>
      <w:r w:rsidR="0072538A" w:rsidRPr="00F942FF">
        <w:rPr>
          <w:iCs/>
          <w:szCs w:val="22"/>
        </w:rPr>
        <w:t xml:space="preserve">ыездное обследование в благоустройстве. Подробное описание процедуры, типовые документы. Иные контрольные мероприятия. </w:t>
      </w:r>
    </w:p>
    <w:p w14:paraId="73926B5A" w14:textId="20200068" w:rsidR="0072538A" w:rsidRPr="00F942FF" w:rsidRDefault="00FE538D" w:rsidP="00FE538D">
      <w:pPr>
        <w:spacing w:line="259" w:lineRule="auto"/>
        <w:ind w:left="708"/>
        <w:rPr>
          <w:iCs/>
          <w:szCs w:val="22"/>
        </w:rPr>
      </w:pPr>
      <w:r w:rsidRPr="00F942FF">
        <w:rPr>
          <w:iCs/>
          <w:szCs w:val="22"/>
        </w:rPr>
        <w:t>- м</w:t>
      </w:r>
      <w:r w:rsidR="0072538A" w:rsidRPr="00F942FF">
        <w:rPr>
          <w:iCs/>
          <w:szCs w:val="22"/>
        </w:rPr>
        <w:t>ониторинг благоустройства. Допустимо или нет? Анализ судебной практики.</w:t>
      </w:r>
    </w:p>
    <w:p w14:paraId="532D5A19" w14:textId="01B1EAE0" w:rsidR="0072538A" w:rsidRPr="00F942FF" w:rsidRDefault="00FE538D" w:rsidP="00FE538D">
      <w:pPr>
        <w:spacing w:line="259" w:lineRule="auto"/>
        <w:ind w:left="708"/>
        <w:rPr>
          <w:iCs/>
          <w:szCs w:val="22"/>
        </w:rPr>
      </w:pPr>
      <w:r w:rsidRPr="00F942FF">
        <w:rPr>
          <w:iCs/>
          <w:szCs w:val="22"/>
        </w:rPr>
        <w:t>- а</w:t>
      </w:r>
      <w:r w:rsidR="0072538A" w:rsidRPr="00F942FF">
        <w:rPr>
          <w:iCs/>
          <w:szCs w:val="22"/>
        </w:rPr>
        <w:t xml:space="preserve">втоматическая фиксация нарушений правил благоустройства. Требования законодательства и практика применения в регионах. </w:t>
      </w:r>
    </w:p>
    <w:p w14:paraId="0DE65B69" w14:textId="1CDA72A2" w:rsidR="0072538A" w:rsidRPr="00F942FF" w:rsidRDefault="00FE538D" w:rsidP="00FE538D">
      <w:pPr>
        <w:spacing w:line="259" w:lineRule="auto"/>
        <w:ind w:left="708"/>
        <w:rPr>
          <w:iCs/>
          <w:szCs w:val="22"/>
        </w:rPr>
      </w:pPr>
      <w:r w:rsidRPr="00F942FF">
        <w:rPr>
          <w:iCs/>
          <w:szCs w:val="22"/>
        </w:rPr>
        <w:t>- п</w:t>
      </w:r>
      <w:r w:rsidR="0072538A" w:rsidRPr="00F942FF">
        <w:rPr>
          <w:iCs/>
          <w:szCs w:val="22"/>
        </w:rPr>
        <w:t>ривлечение к административной ответственности за нарушение правил благоустройства. Условия в период моратория. Порядок и ограничения.</w:t>
      </w:r>
    </w:p>
    <w:p w14:paraId="594D74F4" w14:textId="708299FC" w:rsidR="0072538A" w:rsidRPr="00F942FF" w:rsidRDefault="00FE538D" w:rsidP="00FE538D">
      <w:pPr>
        <w:spacing w:line="259" w:lineRule="auto"/>
        <w:ind w:left="708"/>
        <w:rPr>
          <w:iCs/>
          <w:szCs w:val="22"/>
        </w:rPr>
      </w:pPr>
      <w:r w:rsidRPr="00F942FF">
        <w:rPr>
          <w:iCs/>
          <w:szCs w:val="22"/>
        </w:rPr>
        <w:t>- о</w:t>
      </w:r>
      <w:r w:rsidR="0072538A" w:rsidRPr="00F942FF">
        <w:rPr>
          <w:iCs/>
          <w:szCs w:val="22"/>
        </w:rPr>
        <w:t>собенности работы с прилегающими, придомовыми территориями, с управляющими компаниями и иными объектами.</w:t>
      </w:r>
    </w:p>
    <w:p w14:paraId="0B62D98E" w14:textId="6EFA24D6" w:rsidR="0072538A" w:rsidRPr="00F942FF" w:rsidRDefault="00FE538D" w:rsidP="00FE538D">
      <w:pPr>
        <w:spacing w:line="259" w:lineRule="auto"/>
        <w:ind w:left="708"/>
        <w:rPr>
          <w:iCs/>
          <w:szCs w:val="22"/>
        </w:rPr>
      </w:pPr>
      <w:r w:rsidRPr="00F942FF">
        <w:rPr>
          <w:iCs/>
          <w:szCs w:val="22"/>
        </w:rPr>
        <w:t>- о</w:t>
      </w:r>
      <w:r w:rsidR="0072538A" w:rsidRPr="00F942FF">
        <w:rPr>
          <w:iCs/>
          <w:szCs w:val="22"/>
        </w:rPr>
        <w:t>бязанности инспектора. Ответственность инспектора за ненадлежащий контроль.</w:t>
      </w:r>
    </w:p>
    <w:p w14:paraId="1FCC1FEC" w14:textId="3C3CD14D" w:rsidR="00BB4EBC" w:rsidRPr="00F942FF" w:rsidRDefault="00E7438F" w:rsidP="00BB4EBC">
      <w:pPr>
        <w:pStyle w:val="Default"/>
        <w:spacing w:before="120" w:after="120"/>
        <w:jc w:val="center"/>
        <w:rPr>
          <w:rStyle w:val="ListLabel10"/>
          <w:rFonts w:eastAsiaTheme="minorEastAsia"/>
          <w:sz w:val="24"/>
          <w:szCs w:val="22"/>
        </w:rPr>
      </w:pPr>
      <w:r w:rsidRPr="00F942FF">
        <w:rPr>
          <w:rStyle w:val="ListLabel10"/>
          <w:rFonts w:eastAsiaTheme="minorEastAsia"/>
          <w:b/>
          <w:sz w:val="24"/>
          <w:szCs w:val="22"/>
          <w:u w:val="single"/>
        </w:rPr>
        <w:t>25-2</w:t>
      </w:r>
      <w:r w:rsidR="00242BE3" w:rsidRPr="00F942FF">
        <w:rPr>
          <w:rStyle w:val="ListLabel10"/>
          <w:rFonts w:eastAsiaTheme="minorEastAsia"/>
          <w:b/>
          <w:sz w:val="24"/>
          <w:szCs w:val="22"/>
          <w:u w:val="single"/>
        </w:rPr>
        <w:t>7</w:t>
      </w:r>
      <w:r w:rsidRPr="00F942FF">
        <w:rPr>
          <w:rStyle w:val="ListLabel10"/>
          <w:rFonts w:eastAsiaTheme="minorEastAsia"/>
          <w:b/>
          <w:sz w:val="24"/>
          <w:szCs w:val="22"/>
          <w:u w:val="single"/>
        </w:rPr>
        <w:t xml:space="preserve"> апреля 2024 года</w:t>
      </w:r>
      <w:r w:rsidR="00BB4EBC" w:rsidRPr="00F942FF">
        <w:rPr>
          <w:rStyle w:val="ListLabel10"/>
          <w:rFonts w:eastAsiaTheme="minorEastAsia"/>
          <w:b/>
          <w:sz w:val="24"/>
          <w:szCs w:val="22"/>
          <w:u w:val="single"/>
        </w:rPr>
        <w:t xml:space="preserve"> </w:t>
      </w:r>
    </w:p>
    <w:p w14:paraId="1FCC1FED" w14:textId="782C521E" w:rsidR="00BB4EBC" w:rsidRPr="00F942FF" w:rsidRDefault="0072538A" w:rsidP="00BB4EBC">
      <w:pPr>
        <w:jc w:val="center"/>
        <w:rPr>
          <w:b/>
          <w:i/>
          <w:color w:val="000000"/>
          <w:sz w:val="28"/>
          <w:szCs w:val="20"/>
        </w:rPr>
      </w:pPr>
      <w:r w:rsidRPr="00F942FF">
        <w:rPr>
          <w:color w:val="000000"/>
          <w:szCs w:val="19"/>
        </w:rPr>
        <w:t>С</w:t>
      </w:r>
      <w:r w:rsidR="00BB4EBC" w:rsidRPr="00F942FF">
        <w:rPr>
          <w:color w:val="000000"/>
          <w:szCs w:val="19"/>
        </w:rPr>
        <w:t>амостоятельное изучение материала, сдача итогового теста</w:t>
      </w:r>
    </w:p>
    <w:p w14:paraId="1FCC1FEE" w14:textId="77777777" w:rsidR="00290CE9" w:rsidRPr="0072538A" w:rsidRDefault="00762088" w:rsidP="00BB4EBC">
      <w:pPr>
        <w:spacing w:before="120" w:after="120"/>
        <w:ind w:left="284"/>
        <w:jc w:val="both"/>
        <w:rPr>
          <w:rStyle w:val="ListLabel10"/>
          <w:rFonts w:eastAsiaTheme="minorEastAsia"/>
          <w:b/>
          <w:sz w:val="22"/>
          <w:szCs w:val="22"/>
        </w:rPr>
      </w:pPr>
      <w:r w:rsidRPr="0072538A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72538A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(заявление, согласие, диплом) </w:t>
      </w:r>
      <w:r w:rsidRPr="0072538A">
        <w:rPr>
          <w:rStyle w:val="ListLabel10"/>
          <w:rFonts w:eastAsiaTheme="minorEastAsia"/>
          <w:b/>
          <w:sz w:val="22"/>
          <w:szCs w:val="22"/>
        </w:rPr>
        <w:t>выдается удостоверение</w:t>
      </w:r>
      <w:r w:rsidR="00EB07B2" w:rsidRPr="0072538A">
        <w:rPr>
          <w:rStyle w:val="ListLabel10"/>
          <w:rFonts w:eastAsiaTheme="minorEastAsia"/>
          <w:b/>
          <w:sz w:val="22"/>
          <w:szCs w:val="22"/>
        </w:rPr>
        <w:t xml:space="preserve"> о повышении квалификации  на 40 </w:t>
      </w:r>
      <w:proofErr w:type="spellStart"/>
      <w:r w:rsidR="00EB07B2" w:rsidRPr="0072538A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="00EB07B2" w:rsidRPr="0072538A">
        <w:rPr>
          <w:rStyle w:val="ListLabel10"/>
          <w:rFonts w:eastAsiaTheme="minorEastAsia"/>
          <w:b/>
          <w:sz w:val="22"/>
          <w:szCs w:val="22"/>
        </w:rPr>
        <w:t>. часов</w:t>
      </w:r>
      <w:r w:rsidRPr="0072538A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  <w:bookmarkStart w:id="0" w:name="_GoBack"/>
      <w:bookmarkEnd w:id="0"/>
    </w:p>
    <w:sectPr w:rsidR="00290CE9" w:rsidRPr="0072538A" w:rsidSect="00A917D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6E30A6"/>
    <w:multiLevelType w:val="hybridMultilevel"/>
    <w:tmpl w:val="EA846142"/>
    <w:lvl w:ilvl="0" w:tplc="0E7894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12695"/>
    <w:multiLevelType w:val="hybridMultilevel"/>
    <w:tmpl w:val="C3309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C294E"/>
    <w:multiLevelType w:val="multilevel"/>
    <w:tmpl w:val="24482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B7CBF"/>
    <w:multiLevelType w:val="hybridMultilevel"/>
    <w:tmpl w:val="D826C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18"/>
  </w:num>
  <w:num w:numId="8">
    <w:abstractNumId w:val="2"/>
  </w:num>
  <w:num w:numId="9">
    <w:abstractNumId w:val="21"/>
  </w:num>
  <w:num w:numId="10">
    <w:abstractNumId w:val="5"/>
  </w:num>
  <w:num w:numId="11">
    <w:abstractNumId w:val="14"/>
  </w:num>
  <w:num w:numId="12">
    <w:abstractNumId w:val="23"/>
  </w:num>
  <w:num w:numId="13">
    <w:abstractNumId w:val="20"/>
  </w:num>
  <w:num w:numId="14">
    <w:abstractNumId w:val="6"/>
  </w:num>
  <w:num w:numId="15">
    <w:abstractNumId w:val="19"/>
  </w:num>
  <w:num w:numId="16">
    <w:abstractNumId w:val="16"/>
  </w:num>
  <w:num w:numId="17">
    <w:abstractNumId w:val="12"/>
  </w:num>
  <w:num w:numId="18">
    <w:abstractNumId w:val="4"/>
  </w:num>
  <w:num w:numId="19">
    <w:abstractNumId w:val="15"/>
  </w:num>
  <w:num w:numId="20">
    <w:abstractNumId w:val="3"/>
  </w:num>
  <w:num w:numId="21">
    <w:abstractNumId w:val="17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60BA8"/>
    <w:rsid w:val="000637E5"/>
    <w:rsid w:val="000D5FF5"/>
    <w:rsid w:val="00137483"/>
    <w:rsid w:val="00145BBE"/>
    <w:rsid w:val="00152D11"/>
    <w:rsid w:val="00172DDB"/>
    <w:rsid w:val="00191A76"/>
    <w:rsid w:val="001A0796"/>
    <w:rsid w:val="001A7370"/>
    <w:rsid w:val="001D010E"/>
    <w:rsid w:val="00242BE3"/>
    <w:rsid w:val="00242CD4"/>
    <w:rsid w:val="002479DC"/>
    <w:rsid w:val="00255226"/>
    <w:rsid w:val="002655DF"/>
    <w:rsid w:val="00284C6F"/>
    <w:rsid w:val="00290CE9"/>
    <w:rsid w:val="002A2FA5"/>
    <w:rsid w:val="002E16E2"/>
    <w:rsid w:val="002E2A2A"/>
    <w:rsid w:val="002E2E80"/>
    <w:rsid w:val="002E3CDD"/>
    <w:rsid w:val="00307EFA"/>
    <w:rsid w:val="00315E41"/>
    <w:rsid w:val="0032233C"/>
    <w:rsid w:val="00336426"/>
    <w:rsid w:val="00350FBA"/>
    <w:rsid w:val="00352E34"/>
    <w:rsid w:val="00371B6F"/>
    <w:rsid w:val="0039708E"/>
    <w:rsid w:val="003D12C9"/>
    <w:rsid w:val="003D67CD"/>
    <w:rsid w:val="003F7577"/>
    <w:rsid w:val="00415DE4"/>
    <w:rsid w:val="004659EA"/>
    <w:rsid w:val="0048113D"/>
    <w:rsid w:val="004B2F4D"/>
    <w:rsid w:val="004C4B46"/>
    <w:rsid w:val="004E0950"/>
    <w:rsid w:val="004E216A"/>
    <w:rsid w:val="005010FA"/>
    <w:rsid w:val="0056044C"/>
    <w:rsid w:val="00565EE9"/>
    <w:rsid w:val="005F5F67"/>
    <w:rsid w:val="0060620B"/>
    <w:rsid w:val="00615C59"/>
    <w:rsid w:val="006261B9"/>
    <w:rsid w:val="0063568A"/>
    <w:rsid w:val="006655EF"/>
    <w:rsid w:val="006660E8"/>
    <w:rsid w:val="006700BD"/>
    <w:rsid w:val="006912DE"/>
    <w:rsid w:val="0069158A"/>
    <w:rsid w:val="00697792"/>
    <w:rsid w:val="00697A4B"/>
    <w:rsid w:val="006D735A"/>
    <w:rsid w:val="0072538A"/>
    <w:rsid w:val="007266E8"/>
    <w:rsid w:val="00755EC5"/>
    <w:rsid w:val="00762088"/>
    <w:rsid w:val="00762926"/>
    <w:rsid w:val="007640C8"/>
    <w:rsid w:val="007642F5"/>
    <w:rsid w:val="00780DB3"/>
    <w:rsid w:val="00787177"/>
    <w:rsid w:val="007A01DF"/>
    <w:rsid w:val="007E0D52"/>
    <w:rsid w:val="007E1769"/>
    <w:rsid w:val="007F6954"/>
    <w:rsid w:val="008036AB"/>
    <w:rsid w:val="008162E3"/>
    <w:rsid w:val="008638D1"/>
    <w:rsid w:val="00882BE2"/>
    <w:rsid w:val="00884538"/>
    <w:rsid w:val="00894B47"/>
    <w:rsid w:val="008A06CE"/>
    <w:rsid w:val="008C3E93"/>
    <w:rsid w:val="00900F10"/>
    <w:rsid w:val="009205D9"/>
    <w:rsid w:val="009447AC"/>
    <w:rsid w:val="009459E5"/>
    <w:rsid w:val="00946843"/>
    <w:rsid w:val="00974F47"/>
    <w:rsid w:val="009A428B"/>
    <w:rsid w:val="009C38BF"/>
    <w:rsid w:val="00A20B46"/>
    <w:rsid w:val="00A5225D"/>
    <w:rsid w:val="00A55053"/>
    <w:rsid w:val="00A62BE4"/>
    <w:rsid w:val="00A733EA"/>
    <w:rsid w:val="00A917DC"/>
    <w:rsid w:val="00AB2948"/>
    <w:rsid w:val="00AC0AC6"/>
    <w:rsid w:val="00AD136F"/>
    <w:rsid w:val="00AD2ED0"/>
    <w:rsid w:val="00AD6935"/>
    <w:rsid w:val="00AF5A3F"/>
    <w:rsid w:val="00B10E7F"/>
    <w:rsid w:val="00B61461"/>
    <w:rsid w:val="00B8029C"/>
    <w:rsid w:val="00BA3ED4"/>
    <w:rsid w:val="00BB4EBC"/>
    <w:rsid w:val="00C00DD2"/>
    <w:rsid w:val="00C27840"/>
    <w:rsid w:val="00C456D9"/>
    <w:rsid w:val="00C61181"/>
    <w:rsid w:val="00C62D4C"/>
    <w:rsid w:val="00C7747A"/>
    <w:rsid w:val="00CF6778"/>
    <w:rsid w:val="00D56B66"/>
    <w:rsid w:val="00D723E0"/>
    <w:rsid w:val="00DB5A7C"/>
    <w:rsid w:val="00DF41BD"/>
    <w:rsid w:val="00E15644"/>
    <w:rsid w:val="00E45A8A"/>
    <w:rsid w:val="00E462DF"/>
    <w:rsid w:val="00E641F0"/>
    <w:rsid w:val="00E7438F"/>
    <w:rsid w:val="00E907B6"/>
    <w:rsid w:val="00EB07B2"/>
    <w:rsid w:val="00EB529A"/>
    <w:rsid w:val="00EC7320"/>
    <w:rsid w:val="00EE25A7"/>
    <w:rsid w:val="00EF1466"/>
    <w:rsid w:val="00EF5A15"/>
    <w:rsid w:val="00F03C63"/>
    <w:rsid w:val="00F5563C"/>
    <w:rsid w:val="00F85527"/>
    <w:rsid w:val="00F942FF"/>
    <w:rsid w:val="00F96982"/>
    <w:rsid w:val="00FC12BA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01A0-60DB-4646-8478-79CFD572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21</cp:revision>
  <cp:lastPrinted>2020-10-30T09:36:00Z</cp:lastPrinted>
  <dcterms:created xsi:type="dcterms:W3CDTF">2023-12-29T07:22:00Z</dcterms:created>
  <dcterms:modified xsi:type="dcterms:W3CDTF">2024-02-13T12:32:00Z</dcterms:modified>
</cp:coreProperties>
</file>